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四川省甘孜藏族自治州红十字会部门决算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第一部分 部门概况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一、部门职责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二、机构设置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第二部分 2022年度部门决算情况说明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一、收入支出决算总体情况说明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二、收入决算情况说明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三、支出决算情况说明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四、财政拨款收入支出决算总体情况说明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五、一般公共预算财政拨款支出决算情况说明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六、一般公共预算财政拨款基本支出决算情况说明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七、财政拨款“三公”经费支出决算情况说明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八、政府性基金预算支出决算情况说明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九、国有资本经营预算支出决算情况说明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42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十、其他重要事项的情况说明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第三部分 名词解释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第四部分 绩效评价情况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第五部分 附表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一、收入支出决算总表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二、收入决算表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三、支出决算表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四、财政拨款收入支出决算总表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五、财政拨款支出决算明细表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六、一般公共预算财政拨款支出决算表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七、一般公共预算财政拨款支出决算明细表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八、一般公共预算财政拨款基本支出决算明细表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九、一般公共预算财政拨款项目支出决算表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十、政府性基金预算财政拨款收入支出决算表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十一、国有资本经营预算财政拨款收入支出决算表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十二、国有资本经营预算财政拨款支出决算表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42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十三、财政拨款“三公”经费支出决算表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330" w:afterAutospacing="0" w:line="576" w:lineRule="exact"/>
        <w:ind w:left="0" w:right="0" w:firstLine="0"/>
        <w:jc w:val="center"/>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第一部分 部门概况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76" w:lineRule="exact"/>
        <w:ind w:left="0" w:right="0" w:firstLine="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1、 部门职责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1．主要职能。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1.传播国际红十字会运动知识和国际人道主义法，宣传、执行《中华人民共和国红十字法》和《四川省实施&lt;中华人民共和国红十字会&gt;办法》等法律法规，遵循《中国红十字章程》，依法建会、治会、兴会。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35"/>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  2.开展备灾救灾工作，兴建和管理备灾救灾设施，在自然灾害和突发事件中，开展对受害者的救护和帮助。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65"/>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 3.开展人道领域的社会公益服务活动和卫生救护、防病常识的宣传普及，组织社会捐助，进行初级卫生救护培训，组织群众参加现场救护；推进无偿献血和非血缘关系骨髓移植工作。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65"/>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 4.组织对公民特别是青少年进行人道主义教育活动。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65"/>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 5.参与艾滋病防治、吸毒危害等宣传教育工作。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65"/>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 6.参与医疗服务和扶贫工作。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65"/>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 7.负责海峡两岸的查人转信及有关人员的遣返和见证事务。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65"/>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 8.与境内外红十字会和组织进行友好往来，开展人道领域的合作与交流，争取援助。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65"/>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 9.根据中国红十字总会的部署，参加国际和国内的人道主义救援工作。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76" w:lineRule="exact"/>
        <w:ind w:left="0" w:right="0" w:firstLine="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二、机构设置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甘孜州红十字会是参照公务员管理事业单位，一级财政预算单位,内设三个职能机构（办公室、监审部、综合业务部）。甘孜州红十字会编制人数6名、机关工勤人员1名，退休职工3人。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330" w:afterAutospacing="0" w:line="576" w:lineRule="exact"/>
        <w:ind w:left="0" w:right="435" w:firstLine="0"/>
        <w:jc w:val="center"/>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第二部分 2022年度部门决算情况说明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420"/>
        <w:jc w:val="both"/>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lang w:val="en-US" w:eastAsia="zh-CN"/>
        </w:rPr>
        <w:t>一</w:t>
      </w:r>
      <w:r>
        <w:rPr>
          <w:rFonts w:hint="eastAsia" w:ascii="仿宋" w:hAnsi="仿宋" w:eastAsia="仿宋" w:cs="仿宋"/>
          <w:b/>
          <w:bCs/>
          <w:i w:val="0"/>
          <w:caps w:val="0"/>
          <w:color w:val="000000"/>
          <w:spacing w:val="0"/>
          <w:sz w:val="32"/>
          <w:szCs w:val="32"/>
        </w:rPr>
        <w:t>、 收入支出决算总体情况说明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2022年度收、支总计791.48万元。与2021年相比，收增加29.39万元、支增加31.37万元，总计60.76，增长8.32%。主要变动原因是上年结转、增加1个项目、人员经费变动。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420"/>
        <w:jc w:val="both"/>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lang w:val="en-US" w:eastAsia="zh-CN"/>
        </w:rPr>
        <w:t>二</w:t>
      </w:r>
      <w:r>
        <w:rPr>
          <w:rFonts w:hint="eastAsia" w:ascii="仿宋" w:hAnsi="仿宋" w:eastAsia="仿宋" w:cs="仿宋"/>
          <w:b/>
          <w:bCs/>
          <w:i w:val="0"/>
          <w:caps w:val="0"/>
          <w:color w:val="000000"/>
          <w:spacing w:val="0"/>
          <w:sz w:val="32"/>
          <w:szCs w:val="32"/>
        </w:rPr>
        <w:t>、 收入决算情况说明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本年收入合计394.75万元，其中：一般公共预算财政拨款收入394.75万元，占100%；政府性基金预算财政拨款收入0万元，占0%；国有资本经营预算财政拨款收入0万元，占0%；上级补助收入0万元，占0%；事业收入0万元，占0%；经营收入0万元，占0%；附属单位上缴收入0万元，占0%；其他收入0万元，占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420"/>
        <w:jc w:val="both"/>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lang w:val="en-US" w:eastAsia="zh-CN"/>
        </w:rPr>
        <w:t>三</w:t>
      </w:r>
      <w:r>
        <w:rPr>
          <w:rFonts w:hint="eastAsia" w:ascii="仿宋" w:hAnsi="仿宋" w:eastAsia="仿宋" w:cs="仿宋"/>
          <w:b/>
          <w:bCs/>
          <w:i w:val="0"/>
          <w:caps w:val="0"/>
          <w:color w:val="000000"/>
          <w:spacing w:val="0"/>
          <w:sz w:val="32"/>
          <w:szCs w:val="32"/>
        </w:rPr>
        <w:t>、支出决算情况说明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2022年本年支出合计396.73万元，其中：基本支出214.23万元，占54%；项目支出182.50万元，占46%；上缴上级支出0万元，占0%；经营支出0万元，占0%；对附属单位补助支出0万元，占0%。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四、财政拨款收入支出决算总体情况说明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2022年财政拨款收、支总计791.48万元。与2021年相比，财政拨款收、支总计各增加60.76万元，增长8.32%。主要变动原因是上年结转、增加1个项目、人员经费变动。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五、</w:t>
      </w:r>
      <w:r>
        <w:rPr>
          <w:rStyle w:val="7"/>
          <w:rFonts w:hint="eastAsia" w:ascii="仿宋" w:hAnsi="仿宋" w:eastAsia="仿宋" w:cs="仿宋"/>
          <w:b/>
          <w:bCs/>
          <w:i w:val="0"/>
          <w:caps w:val="0"/>
          <w:color w:val="000000"/>
          <w:spacing w:val="0"/>
          <w:sz w:val="32"/>
          <w:szCs w:val="32"/>
        </w:rPr>
        <w:t>一</w:t>
      </w:r>
      <w:r>
        <w:rPr>
          <w:rFonts w:hint="eastAsia" w:ascii="仿宋" w:hAnsi="仿宋" w:eastAsia="仿宋" w:cs="仿宋"/>
          <w:b/>
          <w:bCs/>
          <w:i w:val="0"/>
          <w:caps w:val="0"/>
          <w:color w:val="000000"/>
          <w:spacing w:val="0"/>
          <w:sz w:val="32"/>
          <w:szCs w:val="32"/>
        </w:rPr>
        <w:t>般公共预算财政拨款支出决算情况说明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（一）一般公共预算财政拨款支出决算总体情况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2022年一般公共预算财政拨款支出396.73万元，占本年支出合计的100%。与2021年相比，一般公共预算财政拨款支出增加31.37万元，增长8.59。主要变动原因是增加是上年结转、增加1个项目、人员经费变动。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（二）一般公共预算财政拨款支出决算结构情况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2022年一般公共预算财政拨款支出396.73万元，主要用于以下方面:</w:t>
      </w:r>
      <w:r>
        <w:rPr>
          <w:rStyle w:val="7"/>
          <w:rFonts w:hint="eastAsia" w:ascii="仿宋" w:hAnsi="仿宋" w:eastAsia="仿宋" w:cs="仿宋"/>
          <w:i w:val="0"/>
          <w:caps w:val="0"/>
          <w:color w:val="000000"/>
          <w:spacing w:val="0"/>
          <w:sz w:val="32"/>
          <w:szCs w:val="32"/>
        </w:rPr>
        <w:t>一般公共服务支出</w:t>
      </w:r>
      <w:r>
        <w:rPr>
          <w:rFonts w:hint="eastAsia" w:ascii="仿宋" w:hAnsi="仿宋" w:eastAsia="仿宋" w:cs="仿宋"/>
          <w:i w:val="0"/>
          <w:caps w:val="0"/>
          <w:color w:val="000000"/>
          <w:spacing w:val="0"/>
          <w:sz w:val="32"/>
          <w:szCs w:val="32"/>
        </w:rPr>
        <w:t>0万元，占0%；</w:t>
      </w:r>
      <w:r>
        <w:rPr>
          <w:rStyle w:val="7"/>
          <w:rFonts w:hint="eastAsia" w:ascii="仿宋" w:hAnsi="仿宋" w:eastAsia="仿宋" w:cs="仿宋"/>
          <w:i w:val="0"/>
          <w:caps w:val="0"/>
          <w:color w:val="000000"/>
          <w:spacing w:val="0"/>
          <w:sz w:val="32"/>
          <w:szCs w:val="32"/>
        </w:rPr>
        <w:t>教育支出</w:t>
      </w:r>
      <w:r>
        <w:rPr>
          <w:rFonts w:hint="eastAsia" w:ascii="仿宋" w:hAnsi="仿宋" w:eastAsia="仿宋" w:cs="仿宋"/>
          <w:i w:val="0"/>
          <w:caps w:val="0"/>
          <w:color w:val="000000"/>
          <w:spacing w:val="0"/>
          <w:sz w:val="32"/>
          <w:szCs w:val="32"/>
        </w:rPr>
        <w:t>0万元，占0%；</w:t>
      </w:r>
      <w:r>
        <w:rPr>
          <w:rStyle w:val="7"/>
          <w:rFonts w:hint="eastAsia" w:ascii="仿宋" w:hAnsi="仿宋" w:eastAsia="仿宋" w:cs="仿宋"/>
          <w:i w:val="0"/>
          <w:caps w:val="0"/>
          <w:color w:val="000000"/>
          <w:spacing w:val="0"/>
          <w:sz w:val="32"/>
          <w:szCs w:val="32"/>
        </w:rPr>
        <w:t>科学技术支出</w:t>
      </w:r>
      <w:r>
        <w:rPr>
          <w:rFonts w:hint="eastAsia" w:ascii="仿宋" w:hAnsi="仿宋" w:eastAsia="仿宋" w:cs="仿宋"/>
          <w:i w:val="0"/>
          <w:caps w:val="0"/>
          <w:color w:val="000000"/>
          <w:spacing w:val="0"/>
          <w:sz w:val="32"/>
          <w:szCs w:val="32"/>
        </w:rPr>
        <w:t>0万元，占0%；</w:t>
      </w:r>
      <w:r>
        <w:rPr>
          <w:rStyle w:val="7"/>
          <w:rFonts w:hint="eastAsia" w:ascii="仿宋" w:hAnsi="仿宋" w:eastAsia="仿宋" w:cs="仿宋"/>
          <w:i w:val="0"/>
          <w:caps w:val="0"/>
          <w:color w:val="000000"/>
          <w:spacing w:val="0"/>
          <w:sz w:val="32"/>
          <w:szCs w:val="32"/>
        </w:rPr>
        <w:t>文化旅游体育与传媒支出0万元，占0%</w:t>
      </w:r>
      <w:r>
        <w:rPr>
          <w:rFonts w:hint="eastAsia" w:ascii="仿宋" w:hAnsi="仿宋" w:eastAsia="仿宋" w:cs="仿宋"/>
          <w:i w:val="0"/>
          <w:caps w:val="0"/>
          <w:color w:val="000000"/>
          <w:spacing w:val="0"/>
          <w:sz w:val="32"/>
          <w:szCs w:val="32"/>
        </w:rPr>
        <w:t>；</w:t>
      </w:r>
      <w:r>
        <w:rPr>
          <w:rStyle w:val="7"/>
          <w:rFonts w:hint="eastAsia" w:ascii="仿宋" w:hAnsi="仿宋" w:eastAsia="仿宋" w:cs="仿宋"/>
          <w:i w:val="0"/>
          <w:caps w:val="0"/>
          <w:color w:val="000000"/>
          <w:spacing w:val="0"/>
          <w:sz w:val="32"/>
          <w:szCs w:val="32"/>
        </w:rPr>
        <w:t>社会保障和就业支出</w:t>
      </w:r>
      <w:r>
        <w:rPr>
          <w:rFonts w:hint="eastAsia" w:ascii="仿宋" w:hAnsi="仿宋" w:eastAsia="仿宋" w:cs="仿宋"/>
          <w:i w:val="0"/>
          <w:caps w:val="0"/>
          <w:color w:val="000000"/>
          <w:spacing w:val="0"/>
          <w:sz w:val="32"/>
          <w:szCs w:val="32"/>
        </w:rPr>
        <w:t>376.38万元，占94.87%；</w:t>
      </w:r>
      <w:r>
        <w:rPr>
          <w:rStyle w:val="7"/>
          <w:rFonts w:hint="eastAsia" w:ascii="仿宋" w:hAnsi="仿宋" w:eastAsia="仿宋" w:cs="仿宋"/>
          <w:i w:val="0"/>
          <w:caps w:val="0"/>
          <w:color w:val="000000"/>
          <w:spacing w:val="0"/>
          <w:sz w:val="32"/>
          <w:szCs w:val="32"/>
        </w:rPr>
        <w:t>卫生健康支出</w:t>
      </w:r>
      <w:r>
        <w:rPr>
          <w:rFonts w:hint="eastAsia" w:ascii="仿宋" w:hAnsi="仿宋" w:eastAsia="仿宋" w:cs="仿宋"/>
          <w:i w:val="0"/>
          <w:caps w:val="0"/>
          <w:color w:val="000000"/>
          <w:spacing w:val="0"/>
          <w:sz w:val="32"/>
          <w:szCs w:val="32"/>
        </w:rPr>
        <w:t>6.86万元，占1.73%；</w:t>
      </w:r>
      <w:r>
        <w:rPr>
          <w:rStyle w:val="7"/>
          <w:rFonts w:hint="eastAsia" w:ascii="仿宋" w:hAnsi="仿宋" w:eastAsia="仿宋" w:cs="仿宋"/>
          <w:i w:val="0"/>
          <w:caps w:val="0"/>
          <w:color w:val="000000"/>
          <w:spacing w:val="0"/>
          <w:sz w:val="32"/>
          <w:szCs w:val="32"/>
        </w:rPr>
        <w:t>住房保障支出</w:t>
      </w:r>
      <w:r>
        <w:rPr>
          <w:rFonts w:hint="eastAsia" w:ascii="仿宋" w:hAnsi="仿宋" w:eastAsia="仿宋" w:cs="仿宋"/>
          <w:i w:val="0"/>
          <w:caps w:val="0"/>
          <w:color w:val="000000"/>
          <w:spacing w:val="0"/>
          <w:sz w:val="32"/>
          <w:szCs w:val="32"/>
        </w:rPr>
        <w:t>13.5万元，占3.40%。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（三）一般公共预算财政拨款支出决算具体情况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2022年一般公共预算支出决算数为396.73</w:t>
      </w:r>
      <w:r>
        <w:rPr>
          <w:rFonts w:hint="eastAsia" w:ascii="仿宋" w:hAnsi="仿宋" w:eastAsia="仿宋" w:cs="仿宋"/>
          <w:i w:val="0"/>
          <w:caps w:val="0"/>
          <w:color w:val="000000"/>
          <w:spacing w:val="0"/>
          <w:sz w:val="32"/>
          <w:szCs w:val="32"/>
        </w:rPr>
        <w:t>，完成预算100.5%。其中：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1.无一般公共服务支出。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2.无教育支出。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3.无科学技术支出。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4.无文化旅游体育与传媒支出。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5. 社会保障和就业支出</w:t>
      </w:r>
      <w:r>
        <w:rPr>
          <w:rFonts w:hint="eastAsia" w:ascii="仿宋" w:hAnsi="仿宋" w:eastAsia="仿宋" w:cs="仿宋"/>
          <w:i w:val="0"/>
          <w:caps w:val="0"/>
          <w:color w:val="000000"/>
          <w:spacing w:val="0"/>
          <w:sz w:val="32"/>
          <w:szCs w:val="32"/>
        </w:rPr>
        <w:t>208（类）20805、20811、20816（款）2080505、2080506、2080599、2081199、2081601（项）:支出决算为376.38万元，完成预算100%。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6.卫生健康支出</w:t>
      </w:r>
      <w:r>
        <w:rPr>
          <w:rFonts w:hint="eastAsia" w:ascii="仿宋" w:hAnsi="仿宋" w:eastAsia="仿宋" w:cs="仿宋"/>
          <w:i w:val="0"/>
          <w:caps w:val="0"/>
          <w:color w:val="000000"/>
          <w:spacing w:val="0"/>
          <w:sz w:val="32"/>
          <w:szCs w:val="32"/>
        </w:rPr>
        <w:t>210（类）21011（款）2101101、2101103（项）:支出决算为6.86万元，完成预算100%。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7、住房保障支出</w:t>
      </w:r>
      <w:r>
        <w:rPr>
          <w:rFonts w:hint="eastAsia" w:ascii="仿宋" w:hAnsi="仿宋" w:eastAsia="仿宋" w:cs="仿宋"/>
          <w:i w:val="0"/>
          <w:caps w:val="0"/>
          <w:color w:val="000000"/>
          <w:spacing w:val="0"/>
          <w:sz w:val="32"/>
          <w:szCs w:val="32"/>
        </w:rPr>
        <w:t>221（类）22102（款）2210201：支出13.5万元，完成预算100%。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六</w:t>
      </w:r>
      <w:r>
        <w:rPr>
          <w:rStyle w:val="7"/>
          <w:rFonts w:hint="eastAsia" w:ascii="仿宋" w:hAnsi="仿宋" w:eastAsia="仿宋" w:cs="仿宋"/>
          <w:b/>
          <w:bCs/>
          <w:i w:val="0"/>
          <w:caps w:val="0"/>
          <w:color w:val="000000"/>
          <w:spacing w:val="0"/>
          <w:sz w:val="32"/>
          <w:szCs w:val="32"/>
        </w:rPr>
        <w:t>、一</w:t>
      </w:r>
      <w:r>
        <w:rPr>
          <w:rFonts w:hint="eastAsia" w:ascii="仿宋" w:hAnsi="仿宋" w:eastAsia="仿宋" w:cs="仿宋"/>
          <w:b/>
          <w:bCs/>
          <w:i w:val="0"/>
          <w:caps w:val="0"/>
          <w:color w:val="000000"/>
          <w:spacing w:val="0"/>
          <w:sz w:val="32"/>
          <w:szCs w:val="32"/>
        </w:rPr>
        <w:t>般公共预算财政拨款基本支出决算情况说明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45"/>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2022年一般公共预算财政拨款基本支出214.23万元，其中：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45"/>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人员经费189.89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公用经费24.34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七、财政拨款“三公”经费支出决算情况说明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（一）“三公”经费财政拨款支出决算总体情况说明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2022年“三公”经费财政拨款支出决算为6.50万元，完成预算100%，较上年增加2.34万元，增长36%。决算数小于预算数持平。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（二）“三公”经费财政拨款支出决算具体情况说明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2022年“三公”经费财政拨款支出决算中，因公出国（境）费支出决算0万元，占0%；公务用车购置及运行维护费支出决算6.09万元，占93.69%；公务接待费支出决算0.41万元，占6.31%。具体情况如下：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1.无因公出国（境）经费支出</w:t>
      </w:r>
      <w:r>
        <w:rPr>
          <w:rFonts w:hint="eastAsia" w:ascii="仿宋" w:hAnsi="仿宋" w:eastAsia="仿宋" w:cs="仿宋"/>
          <w:i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2.公务用车购置及运行维护费支出</w:t>
      </w:r>
      <w:r>
        <w:rPr>
          <w:rFonts w:hint="eastAsia" w:ascii="仿宋" w:hAnsi="仿宋" w:eastAsia="仿宋" w:cs="仿宋"/>
          <w:i w:val="0"/>
          <w:caps w:val="0"/>
          <w:color w:val="000000"/>
          <w:spacing w:val="0"/>
          <w:sz w:val="32"/>
          <w:szCs w:val="32"/>
        </w:rPr>
        <w:t>6.09万元,完成预算100%。公务用车购置及运行维护费支出决算比2021年增加2.27万元，增长37.27%。主要原因是车辆老旧。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lang w:val="en-US" w:eastAsia="zh-CN"/>
        </w:rPr>
        <w:t>3.</w:t>
      </w:r>
      <w:r>
        <w:rPr>
          <w:rStyle w:val="7"/>
          <w:rFonts w:hint="eastAsia" w:ascii="仿宋" w:hAnsi="仿宋" w:eastAsia="仿宋" w:cs="仿宋"/>
          <w:i w:val="0"/>
          <w:caps w:val="0"/>
          <w:color w:val="000000"/>
          <w:spacing w:val="0"/>
          <w:sz w:val="32"/>
          <w:szCs w:val="32"/>
        </w:rPr>
        <w:t>无公务用车购置支出</w:t>
      </w:r>
      <w:r>
        <w:rPr>
          <w:rFonts w:hint="eastAsia" w:ascii="仿宋" w:hAnsi="仿宋" w:eastAsia="仿宋" w:cs="仿宋"/>
          <w:i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公务用车运行维护费支出</w:t>
      </w:r>
      <w:r>
        <w:rPr>
          <w:rFonts w:hint="eastAsia" w:ascii="仿宋" w:hAnsi="仿宋" w:eastAsia="仿宋" w:cs="仿宋"/>
          <w:i w:val="0"/>
          <w:caps w:val="0"/>
          <w:color w:val="000000"/>
          <w:spacing w:val="0"/>
          <w:sz w:val="32"/>
          <w:szCs w:val="32"/>
        </w:rPr>
        <w:t>6.09万元。主要用于成都开会汇报工作，下县开展工作三救三献等所需的公务用车燃料费、维修费、过路过桥费、保险费等支出。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lang w:val="en-US" w:eastAsia="zh-CN"/>
        </w:rPr>
        <w:t>4</w:t>
      </w:r>
      <w:r>
        <w:rPr>
          <w:rStyle w:val="7"/>
          <w:rFonts w:hint="eastAsia" w:ascii="仿宋" w:hAnsi="仿宋" w:eastAsia="仿宋" w:cs="仿宋"/>
          <w:i w:val="0"/>
          <w:caps w:val="0"/>
          <w:color w:val="000000"/>
          <w:spacing w:val="0"/>
          <w:sz w:val="32"/>
          <w:szCs w:val="32"/>
        </w:rPr>
        <w:t>.公务接待费支出</w:t>
      </w:r>
      <w:r>
        <w:rPr>
          <w:rFonts w:hint="eastAsia" w:ascii="仿宋" w:hAnsi="仿宋" w:eastAsia="仿宋" w:cs="仿宋"/>
          <w:i w:val="0"/>
          <w:caps w:val="0"/>
          <w:color w:val="000000"/>
          <w:spacing w:val="0"/>
          <w:sz w:val="32"/>
          <w:szCs w:val="32"/>
        </w:rPr>
        <w:t>0.41万元，完成预算100%。公务接待费支出决算比2021年增加0.03万元，增长7.32%。主要原因是接待人次增加。其中：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lang w:val="en-US" w:eastAsia="zh-CN"/>
        </w:rPr>
        <w:t>5.</w:t>
      </w:r>
      <w:r>
        <w:rPr>
          <w:rStyle w:val="7"/>
          <w:rFonts w:hint="eastAsia" w:ascii="仿宋" w:hAnsi="仿宋" w:eastAsia="仿宋" w:cs="仿宋"/>
          <w:i w:val="0"/>
          <w:caps w:val="0"/>
          <w:color w:val="000000"/>
          <w:spacing w:val="0"/>
          <w:sz w:val="32"/>
          <w:szCs w:val="32"/>
        </w:rPr>
        <w:t>国内公务接待支出</w:t>
      </w:r>
      <w:r>
        <w:rPr>
          <w:rFonts w:hint="eastAsia" w:ascii="仿宋" w:hAnsi="仿宋" w:eastAsia="仿宋" w:cs="仿宋"/>
          <w:i w:val="0"/>
          <w:caps w:val="0"/>
          <w:color w:val="000000"/>
          <w:spacing w:val="0"/>
          <w:sz w:val="32"/>
          <w:szCs w:val="32"/>
        </w:rPr>
        <w:t>0.41万元，主要用于捐赠、三救三献等工作(执行公务、开展业务活动开支的交通费、住宿费、用餐费等)。国内公务接待3批次，20人次（不包括陪同人员），共计支出0.41万元，具体内容包括：（接待省，各县等工作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lang w:val="en-US" w:eastAsia="zh-CN"/>
        </w:rPr>
        <w:t>6.</w:t>
      </w:r>
      <w:r>
        <w:rPr>
          <w:rStyle w:val="7"/>
          <w:rFonts w:hint="eastAsia" w:ascii="仿宋" w:hAnsi="仿宋" w:eastAsia="仿宋" w:cs="仿宋"/>
          <w:i w:val="0"/>
          <w:caps w:val="0"/>
          <w:color w:val="000000"/>
          <w:spacing w:val="0"/>
          <w:sz w:val="32"/>
          <w:szCs w:val="32"/>
        </w:rPr>
        <w:t>无外事接待支出</w:t>
      </w:r>
      <w:r>
        <w:rPr>
          <w:rFonts w:hint="eastAsia" w:ascii="仿宋" w:hAnsi="仿宋" w:eastAsia="仿宋" w:cs="仿宋"/>
          <w:i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八、政府性基金预算支出决算情况说明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2022年无政府性基金预算财政拨款支出。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lang w:val="en-US" w:eastAsia="zh-CN"/>
        </w:rPr>
        <w:t>九</w:t>
      </w:r>
      <w:r>
        <w:rPr>
          <w:rFonts w:hint="eastAsia" w:ascii="仿宋" w:hAnsi="仿宋" w:eastAsia="仿宋" w:cs="仿宋"/>
          <w:b/>
          <w:bCs/>
          <w:i w:val="0"/>
          <w:caps w:val="0"/>
          <w:color w:val="000000"/>
          <w:spacing w:val="0"/>
          <w:sz w:val="32"/>
          <w:szCs w:val="32"/>
        </w:rPr>
        <w:t>、国有资本经营预算支出决算情况说明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2022年无国有资本经营预算财政拨款支出。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lang w:val="en-US" w:eastAsia="zh-CN"/>
        </w:rPr>
        <w:t>十</w:t>
      </w:r>
      <w:r>
        <w:rPr>
          <w:rFonts w:hint="eastAsia" w:ascii="仿宋" w:hAnsi="仿宋" w:eastAsia="仿宋" w:cs="仿宋"/>
          <w:b/>
          <w:bCs/>
          <w:i w:val="0"/>
          <w:caps w:val="0"/>
          <w:color w:val="000000"/>
          <w:spacing w:val="0"/>
          <w:sz w:val="32"/>
          <w:szCs w:val="32"/>
        </w:rPr>
        <w:t>、其他重要事项的情况说明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（一）机关运行经费支出情况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2022年，红十字会机关运行经费支出支出396.73万元，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比2021年增加31.37万元，增长8.59%。主要原因是增加是上年结转、增加1个项目、人员经费变动。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（二）政府采购支出情况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2022年，无政府采购。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（三）国有资产占有使用情况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截至2022年12月31日，州红十字会共有车辆1辆，其中：主要领导干部用车0辆、机要通信用车0辆、应急保障用车0辆、其他用车1辆，其他用车主要是用于查灾核灾等工作。单价100万元以上专用设备0台（套）。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15"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截至2022年12月31日，州红十字会共有房屋84平方米，价值18.30万元，其中：办公用房84平方米，价值18.30元、业务用房0平方米，价值0元、其他0平方米，价值0元；共有车辆1辆，其中：轿车0辆，价值0元、越野车1辆，价值10万元、小型载客汽车0辆，价值0元、大中型载客汽车0辆，价值0元、其他车型0辆，价值0元。固定资产累计折旧271233.85元，固定资产净值608725.94元，无在建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（四）预算绩效管理情况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根据预算绩效管理要求，本部门在2022年度预算编制阶段，组织对自身能力建设、基层党组织活动、救灾物资及储藏管理、备灾救灾中心工作、备灾救灾中心设施设备、浙江援建-人道救助6个项目开展了预算事前绩效评估，对6个项目编制了绩效目标，预算执行过程中，选取6个项目开展绩效监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组织对2022年度一般公共预算、政府性基金预算、国有资本经营预算、社会保险基金预算以及资本资产、债券资金等全面开展绩效自评，形成州红十字会部门整体绩效自评报告、自身能力建设、基层党组织活动、救灾物资及储藏管理、备灾救灾中心工作、备灾救灾中心设施设备、浙江援建-人道救助专项预算项目绩效自评报告，绩效自评报告详见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6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第3部分 名词解释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left"/>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1.财政拨款收入：指单位从同级财政部门取得的财政预算资金。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2.事业收入：指事业单位开展专业业务活动及辅助活动取得的收入。如…（二级预算单位事业收入情况）等。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3.经营收入：指事业单位在专业业务活动及其辅助活动之外开展非独立核算经营活动取得的收入。如…（二级预算单位经营收入情况）等。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xml:space="preserve">4.其他收入：指单位取得的除上述收入以外的各项收入。主要是…（收入类型）等。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xml:space="preserve">5.使用非财政拨款结余：指事业单位使用以前年度积累的非财政拨款结余弥补当年收支差额的金额。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xml:space="preserve">6.年初结转和结余：指以前年度尚未完成、结转到本年按有关规定继续使用的资金。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7.结余分配：指事业单位按照会计制度规定缴纳的所得税、提取的专用结余以及转入非财政拨款结余的金额等。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8.年末结转和结余：指单位按有关规定结转到下年或以后年度继续使用的资金。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9.一般公共服务（类）…（款）…（项）：指……。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10.外交（类）…（款）…（项）：指……。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11.公共安全（类）…（款）…（项）：指……。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12.教育（类）…（款）…（项）：指……。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13.科学技术（类）…（款）…（项）：指……。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14.文化旅游体育与传媒（类）…（款）…（项）：指……。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15.社会保障和就业（类）…（款）…（项）：指……。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16.卫生健康（类）…（款）…（项）：指……。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17.节能环保（类）…（款）…（项）：指……。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18.城乡社区（类）…（款）…（项）：指……。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19.农林水（类）…（款）…（项）：指……。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20.交通运输（类）…（款）…（项）：指……。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21.资源勘探工业信息等（类）…（款）…（项）：指……。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22.商业服务业（类）…（款）…（项）：指……。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23.金融（类）…（款）…（项）：指……。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24.自然资源海洋气象等（类）…（款）…（项）：指……。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25.住房保障（类）…（款）…（项）：指……。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26.粮油物资储备（类）…（款）…（项）：指……。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27.基本支出：指为保障机构正常运转、完成日常工作任务而发生的人员支出和公用支出。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xml:space="preserve">28.项目支出：指在基本支出之外为完成特定行政任务和事业发展目标所发生的支出。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29.经营支出：指事业单位在专业业务活动及其辅助活动之外开展非独立核算经营活动发生的支出。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center"/>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第四部分 绩效评价情况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center"/>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shd w:val="clear" w:fill="FFFFFF"/>
        </w:rPr>
        <w:t>2023年甘孜藏族自治州红十字会部门整体绩效评价报告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left"/>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xml:space="preserve">1、 </w:t>
      </w:r>
      <w:r>
        <w:rPr>
          <w:rFonts w:hint="eastAsia" w:ascii="仿宋" w:hAnsi="仿宋" w:eastAsia="仿宋" w:cs="仿宋"/>
          <w:i w:val="0"/>
          <w:caps w:val="0"/>
          <w:color w:val="000000"/>
          <w:spacing w:val="0"/>
          <w:sz w:val="32"/>
          <w:szCs w:val="32"/>
          <w:shd w:val="clear" w:fill="FFFFFF"/>
        </w:rPr>
        <w:t>部门（单位）基本情况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xml:space="preserve">（1） </w:t>
      </w:r>
      <w:r>
        <w:rPr>
          <w:rStyle w:val="7"/>
          <w:rFonts w:hint="eastAsia" w:ascii="仿宋" w:hAnsi="仿宋" w:eastAsia="仿宋" w:cs="仿宋"/>
          <w:i w:val="0"/>
          <w:caps w:val="0"/>
          <w:color w:val="000000"/>
          <w:spacing w:val="0"/>
          <w:sz w:val="32"/>
          <w:szCs w:val="32"/>
          <w:shd w:val="clear" w:fill="FFFFFF"/>
        </w:rPr>
        <w:t>机构组成。（简要介绍）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xml:space="preserve">1.传播国际红十字会运动知识和国际人道主义法，宣传、执行《中华人民共和国红十字法》和《四川省实施&lt;中华人民共和国红十字会&gt; 办法》等法律法规，遵循《中国红十字章程》，依法建会、治会、兴会。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2.开展备灾救灾工作，兴建和管理备灾救灾设施，在自然灾害和突发事件中，开展对受害者的救护和帮助。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3.开展人道领域的社会公益服务活动和卫生救护、防病常识的宣传普及，组织社会捐助，进行初级卫生救护培训，组织群众参加现场救护；推进无偿献血和非血缘关系骨髓移植工作。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4.组织对公民特别是青少年进行人道主义教育活动。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5.参与艾滋病防治、吸毒危害等宣传教育工作。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6.参与医疗服务和扶贫工作。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7.负责海峡两岸的查人转信及有关人员的遣返和见证事务。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8.与境内外红十字会和组织进行友好往来，开展人道领域的合作与交流，争取援助。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9.根据中国红十字总会的部署，参加国际和国内的人道主义救援工作。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shd w:val="clear" w:fill="FFFFFF"/>
        </w:rPr>
        <w:t>（二）机构职能和人员概况。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甘孜州红十字会是参照公务员管理事业单位，一级财政预算单位,内设三个职能机构（办公室、综合业务部、监审部），核定事业编制6名、机关工勤人员1名。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（2）年度主要工作任务。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both"/>
        <w:textAlignment w:val="auto"/>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一是全力参与抗震救灾。“9·5”泸定地震发生后，州红十字会立即启动应急响应，第一时间赶赴泸定、海管局灾区一线开展抗震救灾工作，紧急组织帐篷、折叠床、棉被等救灾物资运往灾区，做好上级红会、红基会调拨物资的对接工作。第一时间面向社会发布捐赠公告、畅通捐赠渠道，及时向州抗震救灾指挥部报告接受捐赠情况，主动接受社会监督和审计监督。通过甘孜州人民政府官方网站、泸定县人民政府官方网站、甘孜州红十字会官方网站对捐赠款物进行了12批次的公示，积极配合州审计局对捐赠资金物资接收使用情况进行跟踪审计。州红十字会被州委州政府评为抗震救灾先进集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both"/>
        <w:textAlignment w:val="auto"/>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二是积极助力乡村振兴。安排1名党组成员在石渠县色须镇日扎村驻村担任第一书记，机关党支部与联系村党支部开展共建共创，安排5万元资金支持联系点基层党建工作。协调社会爱心捐赠资金9.5万元，扶持色须镇民族手工艺产业发展。对因受雷击灾害陷入困境的牧民家庭开展人道救助，发放救助金7万元。落实好“博爱家园”助力乡村振兴项目，开展红十字“博爱送万家”行动，发放价值138万元的家庭包，帮助受灾群众、困难群众温暖过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both"/>
        <w:textAlignment w:val="auto"/>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三是积极参与疫情防控。全面贯彻落实州委州政府坚决打赢多点多线疫情遭遇战的部署要求，州县红十字会党员、志愿者下沉“双报到”社区参与宣传引导、秩序维护、街面巡查、入户核查等防控工作，积极协助爱心企业、爱心人士向抗疫一线捐赠防疫物资，在疫情防控中贡献红十字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both"/>
        <w:textAlignment w:val="auto"/>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四是夯实备灾救灾体系。在抓好州本级备灾仓库管理及备灾物资储备的同时，针对我州幅员面积大、交通不便、灾多灾频的现状，重点加强石渠、甘孜、炉霍、理塘四个区域性备灾点的物资储备，实现备灾物资靠前储备、下沉储备。加强备灾救灾能力建设，泸定县红十字会备灾救灾物资储备中心与应急救护培训基地项目已纳入灾后重建总体规划和防灾减灾救灾能力建设专项规划，目前已进入项目实施阶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both"/>
        <w:textAlignment w:val="auto"/>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五是创新汇聚人道资源。除在“11·19甘孜爱心慈善日”集中开展线下“爱心慈善一日捐”活动外，积极探索人道资源赋能增效，带领各县（市）红十字会队伍进一步学习和增强互联网筹资和项目运行的本领，通过创新开放共享的互联网公益平台打开更为广阔的筹资领域，组织全州红十字系统参与“9·9公益日”、“5·8人道公益日”互联网筹资活动，继续做好捐赠人服务工作，为企业和爱心人士提供便捷、规范的捐赠服务，提高捐赠人认同度和互动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both"/>
        <w:textAlignment w:val="auto"/>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六是精准实施人道救助。整合资源、捆绑资金,利用爱心慈善基金、浙江省对口支援人道救助资金等大力推进肢残骨病患者、尿毒症患者专项救助，根据返贫监测对象、低保户、特殊困难户、一般困难户几类对象制定不同的救助标准,去年全年救助肢残骨病患者480余人；救助尿毒症患者180余人，极大减轻了患者负担，有效解决了我州这些大病患者因病致贫、因病返贫的问题，得到各级党委政府、社会各界和受助困难群众的赞扬，已成为全省红十字系统人道救助的品牌项目。去年7月，州红十字会组织省内12名骨科专家，深入我州理塘、甘孜、新龙、德格、石渠五县开展公益巡回诊疗活动，对3600余名肢残骨病患者开展了手术指征筛查，筛查出具备手术指征的患者616名，对338名已接受关节手术的患者开展了术后回访和康复指导，针对存在药物滥用的患者开具处方800余人次，并提出治疗建议方案。此次义诊活动和肢残骨病患者专</w:t>
      </w:r>
      <w:bookmarkStart w:id="0" w:name="_GoBack"/>
      <w:bookmarkEnd w:id="0"/>
      <w:r>
        <w:rPr>
          <w:rFonts w:hint="eastAsia" w:ascii="仿宋" w:hAnsi="仿宋" w:eastAsia="仿宋" w:cs="仿宋"/>
          <w:i w:val="0"/>
          <w:caps w:val="0"/>
          <w:color w:val="000000"/>
          <w:spacing w:val="0"/>
          <w:sz w:val="32"/>
          <w:szCs w:val="32"/>
          <w:lang w:val="en-US" w:eastAsia="zh-CN"/>
        </w:rPr>
        <w:t>项救助项目得到了中央电视台《时代先锋》栏目的宣传报道。持续开展中央彩票公益金大病儿童救助项目，做好“小天使”和“天使阳光”项目申报审核工作,去年救助儿童白血病、先心病患者  名,救助金额达  万元。指导各县(市)红十字会动员社会资源，开展地方性人道救助工作。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both"/>
        <w:textAlignment w:val="auto"/>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七是推进应急救护培训。打造“红十字-救在身边”品牌，举办2022“秋之乐-救在身边”大型文艺活动，广泛开展“红十字关爱生命”社会动员宣传。量质并举推动应急救护培训，2022年开展应急救护普及培训18次，培训8500余人（次），开展救护员培训7批次，培训救护员447人，泸定县红十字救护员王虹力荣获“四川省十大最美红十字救护员”称号。加强应急救护培训阵地建设，在甘孜州卫生学校建成红十字应急救护培训基地，有效提升了全州红十字会应急救护培训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right="0" w:firstLine="640" w:firstLineChars="200"/>
        <w:jc w:val="both"/>
        <w:textAlignment w:val="auto"/>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八是广泛开展“三献”宣传。利用“5.8”红十字日等重要时间节点，与卫健等部门协作配合，组织开展多形式的“三献”宣传活动60余次，发放“三献”工作宣传册30000余份，广泛普及无偿献血、人体器官捐献、造血干细胞捐献“三献”相关知识，不断提高广大群众对“三献”的知晓率、认同率和支持率。去年成功实现一例造血干细胞配型及捐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二、部门资金收支情况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shd w:val="clear" w:fill="FFFFFF"/>
        </w:rPr>
        <w:t>（一）部门总体收支情况。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1.部门总体收入情况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各项收入占总收入的比重，2022年部门财政拨款收入394.74万元，行政运行收入165.02万元，基层党组织收入4.5万元，备灾救灾中心工作专项经费收入28万元，救灾物资及储藏管理专项经费收入15万元，自身能力建设专项经费收入20万元，浙江援建项目100万元，备灾中心设施设备专项经费15万元，机关养老保险收入12.89万元，其他行政事业单位养老收入13.35万元，其他残疾人事业收入1.06万元，其他社会保障和就业支出0.17万元，行政单位医疗收入5.05万元，公务员医疗补助收入1.44万元，住房公积金收入13.23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2.部门总体支出情况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2022年财政拨款支出396.73万元，其中结转2021年财政拨款收入1.98万元。对比上年365.36万元，增加31.37万元。主要原因是增加1个项目，人员变动等原因。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63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4.部门总体结转结余情况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结转2021年财政拨款收入1.98万元。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shd w:val="clear" w:fill="FFFFFF"/>
        </w:rPr>
        <w:t>（二）部门财政拨款收支情况。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1.部门财政拨款收入情况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2022年年初预算收入394.74万元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2.部门财政拨款支出情况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2022年部门财政拨款支出396.73万元（含上年结转1.99万元）。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315"/>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3.部门财政拨款结转结余情况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本年度无结余结转情况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三、部门整体绩效分析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shd w:val="clear" w:fill="FFFFFF"/>
        </w:rPr>
        <w:t>（一）部门预算项目绩效分析。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1.人员类项目绩效分析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按照年初人员运转制定绩效目标，达到了预期的实现，各项支出均严格控制，及时处置各项任务，严格落实资金支出进度执行，预算完成情况达100%,无结余资金，无低效无效率支出，无违规纪录。</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2.运转类项目绩效分析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按照年初工作制定各项运转项目，项目制定绩效目标，达到了预期的实现，项目支出均严格控制，及时处置各项任务，严格落实资金支出进度执行，预算完成情况达100%,无结余资金，无低效无效率支出，无违规纪录。</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3.特定目标类项目绩效分析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本单位无特定目标类项目。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shd w:val="clear" w:fill="FFFFFF"/>
        </w:rPr>
        <w:t>（二）部门整体履职绩效分析。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1.概述一级项目和二级项目绩效目标完成情况。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一是行政运行保障情况。我单位严格按照年初预算安排，严格执行中央八项规定和省、州十项规定，厉行节约规范使用预算资金。收入上，严格执行“收支两条线”管理制度，按规定使用非税票据并直接缴入国库，无隐瞒收入和其他违反国家收费管理规定的行为。在支出管理中，认真执行国库集中支付、政府采购、公务卡报销和大额支付上会集体决策等相关财务管理制度。认真做好每月与银行、财政国库科的对账工作，加强动态监控，保障机关各项工作顺利开展。二是“三公”经费预算执行情况。我会严格按照中央省州的相关文件要求，严控“三公经费”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（三）结果应用情况。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严格执行财务管理制度。严格执行中央和上级有关部门出台的财经纪律相关规定，严控”三公经费”、会议费、培训费、差旅费等支出。严格报账程序，严把票据审核关，减少现金支付。认真做好会计核算，做到账账相符、账实相符。强化内控建设，防范防控岗位风险，确保各项工作有序运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加强政府采购管理。严格按照《政府采购法》和《政府采购法实施条例》等相关管理规定，根据省采购目录和财政部门预算管理要求，编制政府采购计划，将采购项目全部纳入部门预算管理。事前做好釆购政策咨询，了解相关业务规范：合理选择采购方式，确保采购流程合理合规，做好采购项目信息的公开公示工作：同时抓好采购项目的监管工作，严把质量关力求实效。3、加强固定资产管理。严格按照州机关事务管理局和州财政资产管理配置标准、新增资产配置流程、处置审批制度等相关文件要求，做好固定资产采买、报废、调整等相关管理工作。部门资产录入固定资产管理系统，建资产管理卡片，及时更新资产管理信息系统数据，做到账实相符、账卡相符。4、绩效评价情况。按照年初绩效目标要求，对照检查，我会完成了年初绩效预算的目标，达到了预期效果，社会满意度达到 90%以上，切实提升各级团组织政治判断力、政治领悟力、政治执行力。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（四）自评质量。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按照相关要求，及时准确的评价部门的各项工作和运转类项目，各项任务圆满完成。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四、评价结论及建议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（一）评价结论。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在预算执行过程中，我会按照州财政局相关要求和规定，严格控制“三公经费”，严格执行厉行节约相关规定，有效控制行政成本，项目经费按项目预算进行支付,保障了我会履行各项职能开支的需要。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（二）存在问题。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预算编制和绩效目标，不够精细、不够准确。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（三）改进建议。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1、加强预算编制工作，将预算编制与业务工作紧密联系起来，提高预算编制的科学性和可执行性。2、建立绩效评价结果的反馈与整改、激励与问责制度，进一步完善绩效评价结果的反馈和运用机制。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附表：部门预算项目支出绩效自评表（2022年度）</w:t>
      </w:r>
    </w:p>
    <w:tbl>
      <w:tblPr>
        <w:tblStyle w:val="5"/>
        <w:tblW w:w="162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03"/>
        <w:gridCol w:w="1766"/>
        <w:gridCol w:w="589"/>
        <w:gridCol w:w="2636"/>
        <w:gridCol w:w="2073"/>
        <w:gridCol w:w="1740"/>
        <w:gridCol w:w="1459"/>
        <w:gridCol w:w="1510"/>
        <w:gridCol w:w="1612"/>
        <w:gridCol w:w="161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200" w:type="dxa"/>
            <w:gridSpan w:val="10"/>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31"/>
                <w:szCs w:val="31"/>
              </w:rPr>
            </w:pPr>
            <w:r>
              <w:rPr>
                <w:rStyle w:val="7"/>
                <w:rFonts w:hint="eastAsia" w:ascii="宋体" w:hAnsi="宋体" w:eastAsia="宋体" w:cs="宋体"/>
                <w:i w:val="0"/>
                <w:caps w:val="0"/>
                <w:color w:val="000000"/>
                <w:spacing w:val="0"/>
                <w:sz w:val="31"/>
                <w:szCs w:val="31"/>
              </w:rPr>
              <w:t>部门整体支出绩效目标自评表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200" w:type="dxa"/>
            <w:gridSpan w:val="10"/>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2022 年度）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58"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部门名称</w:t>
            </w:r>
          </w:p>
        </w:tc>
        <w:tc>
          <w:tcPr>
            <w:tcW w:w="12642" w:type="dxa"/>
            <w:gridSpan w:val="7"/>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甘孜州红十字会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年度</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主要</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2355" w:type="dxa"/>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任务名称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26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主要内容</w:t>
            </w:r>
          </w:p>
        </w:tc>
        <w:tc>
          <w:tcPr>
            <w:tcW w:w="5272"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预算金额（万元）</w:t>
            </w:r>
          </w:p>
        </w:tc>
        <w:tc>
          <w:tcPr>
            <w:tcW w:w="4734"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实际执行（万元）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235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26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总额</w:t>
            </w:r>
          </w:p>
        </w:tc>
        <w:tc>
          <w:tcPr>
            <w:tcW w:w="20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财政拨款</w:t>
            </w:r>
          </w:p>
        </w:tc>
        <w:tc>
          <w:tcPr>
            <w:tcW w:w="17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其他资金</w:t>
            </w:r>
          </w:p>
        </w:tc>
        <w:tc>
          <w:tcPr>
            <w:tcW w:w="14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总额</w:t>
            </w: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财政拨款</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其他资金</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rPr>
                <w:rFonts w:hint="eastAsia" w:ascii="微软雅黑" w:hAnsi="微软雅黑" w:eastAsia="微软雅黑" w:cs="微软雅黑"/>
                <w:i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235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任务1</w:t>
            </w:r>
          </w:p>
        </w:tc>
        <w:tc>
          <w:tcPr>
            <w:tcW w:w="26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自身能力建设专项经费</w:t>
            </w:r>
          </w:p>
        </w:tc>
        <w:tc>
          <w:tcPr>
            <w:tcW w:w="20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20</w:t>
            </w:r>
          </w:p>
        </w:tc>
        <w:tc>
          <w:tcPr>
            <w:tcW w:w="17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20</w:t>
            </w:r>
          </w:p>
        </w:tc>
        <w:tc>
          <w:tcPr>
            <w:tcW w:w="14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20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20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235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任务2</w:t>
            </w:r>
          </w:p>
        </w:tc>
        <w:tc>
          <w:tcPr>
            <w:tcW w:w="26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备灾救灾中心工作专项经费</w:t>
            </w:r>
          </w:p>
        </w:tc>
        <w:tc>
          <w:tcPr>
            <w:tcW w:w="20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28</w:t>
            </w:r>
          </w:p>
        </w:tc>
        <w:tc>
          <w:tcPr>
            <w:tcW w:w="17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28</w:t>
            </w:r>
          </w:p>
        </w:tc>
        <w:tc>
          <w:tcPr>
            <w:tcW w:w="14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28</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28</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235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任务3</w:t>
            </w:r>
          </w:p>
        </w:tc>
        <w:tc>
          <w:tcPr>
            <w:tcW w:w="26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救灾物资及储藏管理专项经费</w:t>
            </w:r>
          </w:p>
        </w:tc>
        <w:tc>
          <w:tcPr>
            <w:tcW w:w="20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15</w:t>
            </w:r>
          </w:p>
        </w:tc>
        <w:tc>
          <w:tcPr>
            <w:tcW w:w="17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15</w:t>
            </w:r>
          </w:p>
        </w:tc>
        <w:tc>
          <w:tcPr>
            <w:tcW w:w="14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15</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15</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235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任务4</w:t>
            </w:r>
          </w:p>
        </w:tc>
        <w:tc>
          <w:tcPr>
            <w:tcW w:w="26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基层党组织活动经费</w:t>
            </w:r>
          </w:p>
        </w:tc>
        <w:tc>
          <w:tcPr>
            <w:tcW w:w="20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4.5</w:t>
            </w:r>
          </w:p>
        </w:tc>
        <w:tc>
          <w:tcPr>
            <w:tcW w:w="17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4.5</w:t>
            </w:r>
          </w:p>
        </w:tc>
        <w:tc>
          <w:tcPr>
            <w:tcW w:w="14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4.5</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4.5</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235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任务5</w:t>
            </w:r>
          </w:p>
        </w:tc>
        <w:tc>
          <w:tcPr>
            <w:tcW w:w="26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备灾中心设施设备经费</w:t>
            </w:r>
          </w:p>
        </w:tc>
        <w:tc>
          <w:tcPr>
            <w:tcW w:w="20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15</w:t>
            </w:r>
          </w:p>
        </w:tc>
        <w:tc>
          <w:tcPr>
            <w:tcW w:w="17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15</w:t>
            </w:r>
          </w:p>
        </w:tc>
        <w:tc>
          <w:tcPr>
            <w:tcW w:w="14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15</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15</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235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任务6</w:t>
            </w:r>
          </w:p>
        </w:tc>
        <w:tc>
          <w:tcPr>
            <w:tcW w:w="26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浙江援建慈善助医项目</w:t>
            </w:r>
          </w:p>
        </w:tc>
        <w:tc>
          <w:tcPr>
            <w:tcW w:w="20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100</w:t>
            </w:r>
          </w:p>
        </w:tc>
        <w:tc>
          <w:tcPr>
            <w:tcW w:w="17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100</w:t>
            </w:r>
          </w:p>
        </w:tc>
        <w:tc>
          <w:tcPr>
            <w:tcW w:w="14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100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100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4991"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金额合计</w:t>
            </w:r>
          </w:p>
        </w:tc>
        <w:tc>
          <w:tcPr>
            <w:tcW w:w="207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182.5</w:t>
            </w:r>
          </w:p>
        </w:tc>
        <w:tc>
          <w:tcPr>
            <w:tcW w:w="17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182.5</w:t>
            </w:r>
          </w:p>
        </w:tc>
        <w:tc>
          <w:tcPr>
            <w:tcW w:w="14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182.5</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182.5</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7064"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预期目标</w:t>
            </w:r>
          </w:p>
        </w:tc>
        <w:tc>
          <w:tcPr>
            <w:tcW w:w="7933"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实际完成目标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年度</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总体</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目标</w:t>
            </w:r>
          </w:p>
        </w:tc>
        <w:tc>
          <w:tcPr>
            <w:tcW w:w="7064"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1.积极参与“9·5”泸定地震抗震救灾工作；2安排1名党组成员在石渠县色须镇日扎村驻村担任第一书记，带领机关和联系村党支部开展共建共创，积极为联系县镇村争取捐赠物资，实施了“博爱学校红领巾广播站”“博爱乡村振兴文化帐篷”“博爱送万家”“过冬送温暖”等驻村帮扶系列项目，并对困难家庭学生开展人道救助助力乡村振兴；3.充分发挥红十字会在公众参与应急救护培训中的主体作用，传播了“人人学急救、急救为人人”的红十字救护培训，开展了红十字运动知识宣传，对心肺复苏、创伤救护等应急救护内容进行了理论学习和操作演练，不断提高应急救护知识在群众中的普及率。进一步宣传了救护救援知识，提高了救护救援能力。在甘孜州卫生学校建成红十字会应急救护培训基地，极大的增强了全州红十字会的应急救护培训能力；4.加强灾害救助救援。修订完善《甘孜州红十字会自然灾害应急预案》，积极开展自然灾害救灾工作；5.聚焦“三救三献”核心业务，不断满足人民群众日益增长的人道需求，以实际行动助力脱贫巩固、助推乡村振兴；6.广泛普及无偿献血、人体器官捐献、造血干细胞捐献“三献”相关知识，与推进社会主义文明进步相结合，宣传先进典型，系统组织开展“三献”宣传活动；7.组织召开全州红十字系统党风廉政工作会议，党风廉政建设纳入党的建设总体布局，把作风建设融入到日常性工作当中来抓，大力加强机关作风建设，密切联系群众。深化党建工作和社会主义核心价值观宣传，正面回应社会大众关切，传达社会正能量。</w:t>
            </w:r>
          </w:p>
        </w:tc>
        <w:tc>
          <w:tcPr>
            <w:tcW w:w="7933"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1.地震发生后，甘孜州红十字会立即启动应急救援机制，派出工作组到泸定灾区开展工作，地震当天就紧急组织调拨棉被600床、毛毯300床运往灾区。甘孜州红十字会系统共接收社会各界爱心捐款1.6亿元，接收帐篷、棉被、赈济家庭包等救灾物资66批次，全部用于泸定抗震救灾及灾后重建工作，为抗震救灾，重建美好家园贡献了红十字力量；2.州红十字会组织省内14名骨科专家，深入我州理塘、甘孜、新龙、德格及石渠五县，开展了肢残患者术后康复回访检查和送医下乡等相关工作。对3800余名肢残患者开展了全面筛查，对338名过去已经接受了髋关节、膝关节、踝关节等手术的人员，发放宣传资料1459份。针对滥用药患者开具处方800余人次，并提出治疗建议方案，向敬老院免费提供价值34600元的药品和保健品；3.利用“5.8”红十字日等重要时间节点，集中组织开展三献工作相关活动活动60余次，发放三献工作宣传册30000余份。血样采集完成率、血样合格率、服务流程完成率80%及以上；4.人道救助工作，开展先心病患者救助工作，全年救助先心病患儿10余名。今年争取到浙江省援建资金100万元，对高原肢残患者和尿毒症患者开展了人道救助，全年救助高原肢残患者200余名，救助尿毒症患者180余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年</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度</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绩</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效</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指</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17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一级指标</w:t>
            </w:r>
          </w:p>
        </w:tc>
        <w:tc>
          <w:tcPr>
            <w:tcW w:w="322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二级指标</w:t>
            </w: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三级指标</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预期指标值（包含数字及文字描述）</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实际完成指标值（包含数字及文字描述）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完成指标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3225" w:type="dxa"/>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数量指标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人道救助</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开展先心病患者救助工作，全年救助先心病患儿10余名。今年争取到浙江省援建资金100万元，对高原肢残患者和尿毒症患者开展了人道救助，全年救助高原肢残患者200余名，救助尿毒症患者180余名；</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开展先心病患者救助工作，全年救助先心病患儿10余名。今年争取到浙江省援建资金100万元，对高原肢残患者和尿毒症患者开展了人道救助，全年救助高原肢残患者200余名，救助尿毒症患者180余名；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22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召开各项会议、培训</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按照活动安排，召开2次会议和1次培训</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组织召开全州红十字系统党风廉政工作会议，全州红十字系统工作会/培训会。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22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开展支部主题活动</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认真执行学习教育计划，共安排学习达40次，民主生活会1次</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认真执行学习教育计划，共安排学习达40次，民主生活会1次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22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开展“三救/三献”等工作宣传</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集中组织开展三献工作相关活动活动60余次，发放三献工作宣传册30000余份。</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集中组织开展三献工作相关活动活动60余次，发放三献工作宣传册30000余份。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22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时效指标</w:t>
            </w: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年度内完成</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12月前完成</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12月前完成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225" w:type="dxa"/>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成本指标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自身能力建设专项经费</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20</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22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5"/>
                <w:szCs w:val="15"/>
              </w:rPr>
            </w:pPr>
            <w:r>
              <w:rPr>
                <w:rFonts w:hint="eastAsia" w:ascii="宋体" w:hAnsi="宋体" w:eastAsia="宋体" w:cs="宋体"/>
                <w:i w:val="0"/>
                <w:caps w:val="0"/>
                <w:color w:val="000000"/>
                <w:spacing w:val="0"/>
                <w:sz w:val="15"/>
                <w:szCs w:val="15"/>
              </w:rPr>
              <w:t>备灾救灾中心工作专项经费</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28</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28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22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3"/>
                <w:szCs w:val="13"/>
              </w:rPr>
            </w:pPr>
            <w:r>
              <w:rPr>
                <w:rFonts w:hint="eastAsia" w:ascii="宋体" w:hAnsi="宋体" w:eastAsia="宋体" w:cs="宋体"/>
                <w:i w:val="0"/>
                <w:caps w:val="0"/>
                <w:color w:val="000000"/>
                <w:spacing w:val="0"/>
                <w:sz w:val="13"/>
                <w:szCs w:val="13"/>
              </w:rPr>
              <w:t>救灾物资及储藏管理专项经费</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15</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22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基层党组织活动经费</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4.5</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322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备灾中心设施设备经费</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15</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322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5"/>
                <w:szCs w:val="15"/>
              </w:rPr>
            </w:pPr>
            <w:r>
              <w:rPr>
                <w:rFonts w:hint="eastAsia" w:ascii="宋体" w:hAnsi="宋体" w:eastAsia="宋体" w:cs="宋体"/>
                <w:i w:val="0"/>
                <w:caps w:val="0"/>
                <w:color w:val="000000"/>
                <w:spacing w:val="0"/>
                <w:sz w:val="15"/>
                <w:szCs w:val="15"/>
              </w:rPr>
              <w:t>浙江对口援建人道救助项目</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100</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效益指标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322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经济效益指标</w:t>
            </w: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本单位属社会公益性活动不产生经济效益</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本单位属社会公益性活动不产生经济效益</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本单位属社会公益性活动不产生经济效益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225" w:type="dxa"/>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社会效益指标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提升红十字会干部能力，发展红十字事业</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提升红十字会干部能力，发展红十字事业</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提升红十字会干部能力，发展红十字事业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22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储备物资，为灾情、突发事件等做好充分准备</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储备物资，为灾情、突发事件等做好充分准备</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储备物资，为灾情、突发事件等做好充分准备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22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为灾情、突发事件等做好充分准备</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为灾情、突发事件等做好充分准备</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为灾情、突发事件等做好充分准备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22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强化队伍建设</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加强队伍建设</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强化队伍建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322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可持续影响指标</w:t>
            </w: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人道救助</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切实为老百姓解决切身问题。</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切实为老百姓解决切身问题。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17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满意度</w:t>
            </w:r>
            <w:r>
              <w:rPr>
                <w:rFonts w:hint="eastAsia" w:ascii="宋体" w:hAnsi="宋体" w:eastAsia="宋体" w:cs="宋体"/>
                <w:i w:val="0"/>
                <w:caps w:val="0"/>
                <w:color w:val="000000"/>
                <w:spacing w:val="0"/>
                <w:sz w:val="19"/>
                <w:szCs w:val="19"/>
              </w:rPr>
              <w:br w:type="textWrapping"/>
            </w:r>
            <w:r>
              <w:rPr>
                <w:rFonts w:hint="eastAsia" w:ascii="宋体" w:hAnsi="宋体" w:eastAsia="宋体" w:cs="宋体"/>
                <w:i w:val="0"/>
                <w:caps w:val="0"/>
                <w:color w:val="000000"/>
                <w:spacing w:val="0"/>
                <w:sz w:val="19"/>
                <w:szCs w:val="19"/>
              </w:rPr>
              <w:t>指标</w:t>
            </w:r>
          </w:p>
        </w:tc>
        <w:tc>
          <w:tcPr>
            <w:tcW w:w="322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满意度指标</w:t>
            </w:r>
          </w:p>
        </w:tc>
        <w:tc>
          <w:tcPr>
            <w:tcW w:w="381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满意度提升</w:t>
            </w:r>
          </w:p>
        </w:tc>
        <w:tc>
          <w:tcPr>
            <w:tcW w:w="296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提升满意度</w:t>
            </w:r>
          </w:p>
        </w:tc>
        <w:tc>
          <w:tcPr>
            <w:tcW w:w="322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满意度达90%以上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200" w:type="dxa"/>
            <w:gridSpan w:val="10"/>
            <w:tcBorders>
              <w:top w:val="single" w:color="000000" w:sz="2" w:space="0"/>
              <w:left w:val="single" w:color="000000" w:sz="2" w:space="0"/>
              <w:bottom w:val="single" w:color="000000" w:sz="2" w:space="0"/>
              <w:right w:val="single" w:color="000000" w:sz="2"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注：部门整体支出绩效目标自评表在年度预算执行完毕后填报，预期指标值在系统中自动生成，部门填写实际完成指标值。</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firstLine="0"/>
        <w:jc w:val="left"/>
        <w:rPr>
          <w:rFonts w:hint="eastAsia" w:ascii="宋体" w:hAnsi="宋体" w:eastAsia="宋体" w:cs="宋体"/>
          <w:i w:val="0"/>
          <w:caps w:val="0"/>
          <w:color w:val="000000"/>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left="195" w:right="0" w:firstLine="420"/>
        <w:jc w:val="both"/>
        <w:rPr>
          <w:rFonts w:hint="eastAsia" w:ascii="宋体" w:hAnsi="宋体" w:eastAsia="宋体" w:cs="宋体"/>
          <w:i w:val="0"/>
          <w:caps w:val="0"/>
          <w:color w:val="000000"/>
          <w:spacing w:val="0"/>
          <w:sz w:val="27"/>
          <w:szCs w:val="27"/>
        </w:rPr>
      </w:pPr>
    </w:p>
    <w:tbl>
      <w:tblPr>
        <w:tblStyle w:val="5"/>
        <w:tblW w:w="162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48"/>
        <w:gridCol w:w="1458"/>
        <w:gridCol w:w="2042"/>
        <w:gridCol w:w="2439"/>
        <w:gridCol w:w="424"/>
        <w:gridCol w:w="3155"/>
        <w:gridCol w:w="23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3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附件4：</w:t>
            </w:r>
          </w:p>
        </w:tc>
        <w:tc>
          <w:tcPr>
            <w:tcW w:w="145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20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243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4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31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23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31"/>
                <w:szCs w:val="31"/>
              </w:rPr>
            </w:pPr>
            <w:r>
              <w:rPr>
                <w:rStyle w:val="7"/>
                <w:rFonts w:hint="eastAsia" w:ascii="宋体" w:hAnsi="宋体" w:eastAsia="宋体" w:cs="宋体"/>
                <w:i w:val="0"/>
                <w:caps w:val="0"/>
                <w:color w:val="000000"/>
                <w:spacing w:val="0"/>
                <w:sz w:val="31"/>
                <w:szCs w:val="31"/>
              </w:rPr>
              <w:t>项目支出绩效目标自评表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r>
              <w:rPr>
                <w:rFonts w:hint="eastAsia" w:ascii="宋体" w:hAnsi="宋体" w:eastAsia="宋体" w:cs="宋体"/>
                <w:i w:val="0"/>
                <w:caps w:val="0"/>
                <w:color w:val="000000"/>
                <w:spacing w:val="0"/>
                <w:sz w:val="27"/>
                <w:szCs w:val="27"/>
              </w:rPr>
              <w:t>（ 2022 年度）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tbl>
            <w:tblPr>
              <w:tblStyle w:val="5"/>
              <w:tblW w:w="9060" w:type="dxa"/>
              <w:tblInd w:w="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0"/>
              <w:gridCol w:w="990"/>
              <w:gridCol w:w="975"/>
              <w:gridCol w:w="105"/>
              <w:gridCol w:w="1425"/>
              <w:gridCol w:w="1770"/>
              <w:gridCol w:w="29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940"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612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自身能力建设专项经费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2940"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预算单位</w:t>
                  </w:r>
                </w:p>
              </w:tc>
              <w:tc>
                <w:tcPr>
                  <w:tcW w:w="612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甘孜州红十字会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7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both"/>
                    <w:rPr>
                      <w:rFonts w:hint="eastAsia" w:ascii="宋体" w:hAnsi="宋体" w:eastAsia="宋体" w:cs="宋体"/>
                      <w:sz w:val="18"/>
                      <w:szCs w:val="18"/>
                    </w:rPr>
                  </w:pPr>
                  <w:r>
                    <w:rPr>
                      <w:rFonts w:hint="eastAsia" w:ascii="宋体" w:hAnsi="宋体" w:eastAsia="宋体" w:cs="宋体"/>
                      <w:sz w:val="18"/>
                      <w:szCs w:val="18"/>
                    </w:rPr>
                    <w:t>情况</w:t>
                  </w:r>
                  <w:r>
                    <w:rPr>
                      <w:rFonts w:hint="eastAsia" w:ascii="宋体" w:hAnsi="宋体" w:eastAsia="宋体" w:cs="宋体"/>
                      <w:sz w:val="9"/>
                      <w:szCs w:val="9"/>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207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预算数：</w:t>
                  </w:r>
                </w:p>
              </w:tc>
              <w:tc>
                <w:tcPr>
                  <w:tcW w:w="1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20</w:t>
                  </w:r>
                </w:p>
              </w:tc>
              <w:tc>
                <w:tcPr>
                  <w:tcW w:w="177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执行数：</w:t>
                  </w:r>
                </w:p>
              </w:tc>
              <w:tc>
                <w:tcPr>
                  <w:tcW w:w="29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8"/>
                      <w:szCs w:val="18"/>
                    </w:rPr>
                  </w:pPr>
                  <w:r>
                    <w:rPr>
                      <w:rFonts w:hint="eastAsia" w:ascii="宋体" w:hAnsi="宋体" w:eastAsia="宋体" w:cs="宋体"/>
                      <w:sz w:val="18"/>
                      <w:szCs w:val="18"/>
                    </w:rPr>
                    <w:t>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7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207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5"/>
                      <w:szCs w:val="15"/>
                    </w:rPr>
                  </w:pPr>
                  <w:r>
                    <w:rPr>
                      <w:rFonts w:hint="eastAsia" w:ascii="宋体" w:hAnsi="宋体" w:eastAsia="宋体" w:cs="宋体"/>
                      <w:sz w:val="15"/>
                      <w:szCs w:val="15"/>
                    </w:rPr>
                    <w:t>其中：财政拨款</w:t>
                  </w:r>
                </w:p>
              </w:tc>
              <w:tc>
                <w:tcPr>
                  <w:tcW w:w="1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20</w:t>
                  </w:r>
                </w:p>
              </w:tc>
              <w:tc>
                <w:tcPr>
                  <w:tcW w:w="177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5"/>
                      <w:szCs w:val="15"/>
                    </w:rPr>
                  </w:pPr>
                  <w:r>
                    <w:rPr>
                      <w:rFonts w:hint="eastAsia" w:ascii="宋体" w:hAnsi="宋体" w:eastAsia="宋体" w:cs="宋体"/>
                      <w:sz w:val="15"/>
                      <w:szCs w:val="15"/>
                    </w:rPr>
                    <w:t>其中：财政拨款</w:t>
                  </w:r>
                </w:p>
              </w:tc>
              <w:tc>
                <w:tcPr>
                  <w:tcW w:w="29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8"/>
                      <w:szCs w:val="18"/>
                    </w:rPr>
                  </w:pPr>
                  <w:r>
                    <w:rPr>
                      <w:rFonts w:hint="eastAsia" w:ascii="宋体" w:hAnsi="宋体" w:eastAsia="宋体" w:cs="宋体"/>
                      <w:sz w:val="18"/>
                      <w:szCs w:val="18"/>
                    </w:rPr>
                    <w:t>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7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207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5"/>
                      <w:szCs w:val="15"/>
                    </w:rPr>
                  </w:pPr>
                  <w:r>
                    <w:rPr>
                      <w:rFonts w:hint="eastAsia" w:ascii="宋体" w:hAnsi="宋体" w:eastAsia="宋体" w:cs="宋体"/>
                      <w:sz w:val="15"/>
                      <w:szCs w:val="15"/>
                    </w:rPr>
                    <w:t>其他资金</w:t>
                  </w:r>
                </w:p>
              </w:tc>
              <w:tc>
                <w:tcPr>
                  <w:tcW w:w="1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　</w:t>
                  </w:r>
                </w:p>
              </w:tc>
              <w:tc>
                <w:tcPr>
                  <w:tcW w:w="177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5"/>
                      <w:szCs w:val="15"/>
                    </w:rPr>
                  </w:pPr>
                  <w:r>
                    <w:rPr>
                      <w:rFonts w:hint="eastAsia" w:ascii="宋体" w:hAnsi="宋体" w:eastAsia="宋体" w:cs="宋体"/>
                      <w:sz w:val="15"/>
                      <w:szCs w:val="15"/>
                    </w:rPr>
                    <w:t>其他资金</w:t>
                  </w:r>
                </w:p>
              </w:tc>
              <w:tc>
                <w:tcPr>
                  <w:tcW w:w="29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7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3495"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469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实际完成目标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7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3495"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both"/>
                    <w:rPr>
                      <w:rFonts w:hint="eastAsia" w:ascii="宋体" w:hAnsi="宋体" w:eastAsia="宋体" w:cs="宋体"/>
                      <w:sz w:val="15"/>
                      <w:szCs w:val="15"/>
                    </w:rPr>
                  </w:pPr>
                  <w:r>
                    <w:rPr>
                      <w:rFonts w:hint="eastAsia" w:ascii="宋体" w:hAnsi="宋体" w:eastAsia="宋体" w:cs="宋体"/>
                      <w:sz w:val="15"/>
                      <w:szCs w:val="15"/>
                    </w:rPr>
                    <w:t>加大红十字会宣传工作，提高红十字会知晓率；加强红十字队伍建设，切实做好“三救”（应急救援、应急救护、人道救助）、“三献”（献血、献造血干细胞、献人体器官组织）等工作；提升红会干部自身能力，努力发展好红十字事业。</w:t>
                  </w:r>
                </w:p>
              </w:tc>
              <w:tc>
                <w:tcPr>
                  <w:tcW w:w="469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5"/>
                      <w:szCs w:val="15"/>
                    </w:rPr>
                  </w:pPr>
                  <w:r>
                    <w:rPr>
                      <w:rFonts w:hint="eastAsia" w:ascii="宋体" w:hAnsi="宋体" w:eastAsia="宋体" w:cs="宋体"/>
                      <w:sz w:val="15"/>
                      <w:szCs w:val="15"/>
                    </w:rPr>
                    <w:t>组织召开全州红十字系统党风廉政工作会议，全州红十字系统工作会/培训会。三救、三献工作，广泛普及无偿献血、人体器官捐献、造血干细胞捐献“三献”相关知识，系统组织开展“三献”宣传活动。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7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绩效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99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9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177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预期指标值（包含数字及文字描述）</w:t>
                  </w:r>
                </w:p>
              </w:tc>
              <w:tc>
                <w:tcPr>
                  <w:tcW w:w="29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实际完成指标值（包含数字及文字描述）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7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9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项目完成指标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975"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数量指标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开展全州会议</w:t>
                  </w:r>
                </w:p>
              </w:tc>
              <w:tc>
                <w:tcPr>
                  <w:tcW w:w="177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color w:val="000000"/>
                      <w:sz w:val="18"/>
                      <w:szCs w:val="18"/>
                    </w:rPr>
                    <w:t>组织召开全州红十字系统党风廉政工作会议，全州红十字系统工作会/培训会。</w:t>
                  </w:r>
                </w:p>
              </w:tc>
              <w:tc>
                <w:tcPr>
                  <w:tcW w:w="29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color w:val="000000"/>
                      <w:sz w:val="18"/>
                      <w:szCs w:val="18"/>
                    </w:rPr>
                    <w:t>组织召开全州红十字系统党风廉政工作会议，全州红十字系统工作会/培训会。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7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9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7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三救、三献工作</w:t>
                  </w:r>
                </w:p>
              </w:tc>
              <w:tc>
                <w:tcPr>
                  <w:tcW w:w="177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5"/>
                      <w:szCs w:val="15"/>
                    </w:rPr>
                  </w:pPr>
                  <w:r>
                    <w:rPr>
                      <w:rFonts w:hint="eastAsia" w:ascii="宋体" w:hAnsi="宋体" w:eastAsia="宋体" w:cs="宋体"/>
                      <w:color w:val="000000"/>
                      <w:sz w:val="15"/>
                      <w:szCs w:val="15"/>
                    </w:rPr>
                    <w:t>广泛普及无偿献血、人体器官捐献、造血干细胞捐献“三献”相关知识，系统组织开展“三献”宣传活动。</w:t>
                  </w:r>
                </w:p>
              </w:tc>
              <w:tc>
                <w:tcPr>
                  <w:tcW w:w="29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5"/>
                      <w:szCs w:val="15"/>
                    </w:rPr>
                  </w:pPr>
                  <w:r>
                    <w:rPr>
                      <w:rFonts w:hint="eastAsia" w:ascii="宋体" w:hAnsi="宋体" w:eastAsia="宋体" w:cs="宋体"/>
                      <w:color w:val="000000"/>
                      <w:sz w:val="15"/>
                      <w:szCs w:val="15"/>
                    </w:rPr>
                    <w:t>开展应急救护普及培训18次，培训8500余人（次），开展救护员培训七批次，培训救护员447人，其中一名救护员荣获“四川省十大最美红十字救护员”称号；修订完善《甘孜州红十字会自然灾害应急预案》，积极开展自然灾害救灾工作；聚焦“三救三献”核心业务，组织省内14名骨科专家，开展肢残患者术后康复回访检查和送医下乡等相关工作。对3800余名肢残患者开展了全面筛查，发放宣传资料1459份。针对滥用药患者开具处方800余人次。向敬老院免费提供价值34600元的药品和保健品。开展三献工作相关活动活动60余次，发放三献工作宣传册30000余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7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9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75"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质量指标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使用合规</w:t>
                  </w:r>
                </w:p>
              </w:tc>
              <w:tc>
                <w:tcPr>
                  <w:tcW w:w="177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项目资金使用符合相关的财务管理制度规定</w:t>
                  </w:r>
                </w:p>
              </w:tc>
              <w:tc>
                <w:tcPr>
                  <w:tcW w:w="29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符合相关的财务管理制度规定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7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9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7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工作保障率</w:t>
                  </w:r>
                </w:p>
              </w:tc>
              <w:tc>
                <w:tcPr>
                  <w:tcW w:w="177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8"/>
                      <w:szCs w:val="18"/>
                    </w:rPr>
                  </w:pPr>
                  <w:r>
                    <w:rPr>
                      <w:rFonts w:hint="eastAsia" w:ascii="宋体" w:hAnsi="宋体" w:eastAsia="宋体" w:cs="宋体"/>
                      <w:sz w:val="18"/>
                      <w:szCs w:val="18"/>
                    </w:rPr>
                    <w:t>100%</w:t>
                  </w:r>
                </w:p>
              </w:tc>
              <w:tc>
                <w:tcPr>
                  <w:tcW w:w="29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7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9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完成时间</w:t>
                  </w:r>
                </w:p>
              </w:tc>
              <w:tc>
                <w:tcPr>
                  <w:tcW w:w="177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2022年</w:t>
                  </w:r>
                </w:p>
              </w:tc>
              <w:tc>
                <w:tcPr>
                  <w:tcW w:w="29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2022年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7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9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基层党组织活动经费</w:t>
                  </w:r>
                </w:p>
              </w:tc>
              <w:tc>
                <w:tcPr>
                  <w:tcW w:w="177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8"/>
                      <w:szCs w:val="18"/>
                    </w:rPr>
                  </w:pPr>
                  <w:r>
                    <w:rPr>
                      <w:rFonts w:hint="eastAsia" w:ascii="宋体" w:hAnsi="宋体" w:eastAsia="宋体" w:cs="宋体"/>
                      <w:sz w:val="18"/>
                      <w:szCs w:val="18"/>
                    </w:rPr>
                    <w:t>20</w:t>
                  </w:r>
                </w:p>
              </w:tc>
              <w:tc>
                <w:tcPr>
                  <w:tcW w:w="29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8"/>
                      <w:szCs w:val="18"/>
                    </w:rPr>
                  </w:pPr>
                  <w:r>
                    <w:rPr>
                      <w:rFonts w:hint="eastAsia" w:ascii="宋体" w:hAnsi="宋体" w:eastAsia="宋体" w:cs="宋体"/>
                      <w:sz w:val="18"/>
                      <w:szCs w:val="18"/>
                    </w:rPr>
                    <w:t>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7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9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项目效果指标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9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经济效益指标</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资金使用率</w:t>
                  </w:r>
                </w:p>
              </w:tc>
              <w:tc>
                <w:tcPr>
                  <w:tcW w:w="177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8"/>
                      <w:szCs w:val="18"/>
                    </w:rPr>
                  </w:pPr>
                  <w:r>
                    <w:rPr>
                      <w:rFonts w:hint="eastAsia" w:ascii="宋体" w:hAnsi="宋体" w:eastAsia="宋体" w:cs="宋体"/>
                      <w:sz w:val="18"/>
                      <w:szCs w:val="18"/>
                    </w:rPr>
                    <w:t>100%</w:t>
                  </w:r>
                </w:p>
              </w:tc>
              <w:tc>
                <w:tcPr>
                  <w:tcW w:w="29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7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9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社会效益指标</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提升红十字会干部能力，发展红十字事业</w:t>
                  </w:r>
                </w:p>
              </w:tc>
              <w:tc>
                <w:tcPr>
                  <w:tcW w:w="177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提升红十字会干部能力，发展红十字事业</w:t>
                  </w:r>
                </w:p>
              </w:tc>
              <w:tc>
                <w:tcPr>
                  <w:tcW w:w="29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提升红十字会干部能力，发展红十字事业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7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9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可持续影响指标</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提升红十字会干部能力，发展红十字事业</w:t>
                  </w:r>
                </w:p>
              </w:tc>
              <w:tc>
                <w:tcPr>
                  <w:tcW w:w="177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提升红十字会干部能力，发展红十字事业</w:t>
                  </w:r>
                </w:p>
              </w:tc>
              <w:tc>
                <w:tcPr>
                  <w:tcW w:w="29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提升红十字会干部能力，发展红十字事业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7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9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满意度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指标</w:t>
                  </w:r>
                </w:p>
              </w:tc>
              <w:tc>
                <w:tcPr>
                  <w:tcW w:w="9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群众满意度</w:t>
                  </w:r>
                </w:p>
              </w:tc>
              <w:tc>
                <w:tcPr>
                  <w:tcW w:w="177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90%</w:t>
                  </w:r>
                </w:p>
              </w:tc>
              <w:tc>
                <w:tcPr>
                  <w:tcW w:w="29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90%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注：项目支出包括部门预算支出和专项预算支出</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firstLine="0"/>
        <w:jc w:val="both"/>
        <w:rPr>
          <w:rFonts w:hint="eastAsia" w:ascii="宋体" w:hAnsi="宋体" w:eastAsia="宋体" w:cs="宋体"/>
          <w:i w:val="0"/>
          <w:caps w:val="0"/>
          <w:color w:val="000000"/>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firstLine="0"/>
        <w:rPr>
          <w:rFonts w:hint="eastAsia" w:ascii="宋体" w:hAnsi="宋体" w:eastAsia="宋体" w:cs="宋体"/>
          <w:i w:val="0"/>
          <w:caps w:val="0"/>
          <w:color w:val="000000"/>
          <w:spacing w:val="0"/>
          <w:sz w:val="27"/>
          <w:szCs w:val="27"/>
        </w:rPr>
      </w:pPr>
    </w:p>
    <w:tbl>
      <w:tblPr>
        <w:tblStyle w:val="5"/>
        <w:tblW w:w="162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48"/>
        <w:gridCol w:w="1458"/>
        <w:gridCol w:w="2042"/>
        <w:gridCol w:w="2439"/>
        <w:gridCol w:w="424"/>
        <w:gridCol w:w="3155"/>
        <w:gridCol w:w="23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3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附件4：</w:t>
            </w:r>
          </w:p>
        </w:tc>
        <w:tc>
          <w:tcPr>
            <w:tcW w:w="145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20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243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4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31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23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31"/>
                <w:szCs w:val="31"/>
              </w:rPr>
            </w:pPr>
            <w:r>
              <w:rPr>
                <w:rStyle w:val="7"/>
                <w:rFonts w:hint="eastAsia" w:ascii="宋体" w:hAnsi="宋体" w:eastAsia="宋体" w:cs="宋体"/>
                <w:i w:val="0"/>
                <w:caps w:val="0"/>
                <w:color w:val="000000"/>
                <w:spacing w:val="0"/>
                <w:sz w:val="31"/>
                <w:szCs w:val="31"/>
              </w:rPr>
              <w:t>项目支出绩效目标自评表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r>
              <w:rPr>
                <w:rFonts w:hint="eastAsia" w:ascii="宋体" w:hAnsi="宋体" w:eastAsia="宋体" w:cs="宋体"/>
                <w:i w:val="0"/>
                <w:caps w:val="0"/>
                <w:color w:val="000000"/>
                <w:spacing w:val="0"/>
                <w:sz w:val="27"/>
                <w:szCs w:val="27"/>
              </w:rPr>
              <w:t>（ 2022 年度）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tbl>
            <w:tblPr>
              <w:tblStyle w:val="5"/>
              <w:tblW w:w="8655" w:type="dxa"/>
              <w:tblInd w:w="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0"/>
              <w:gridCol w:w="795"/>
              <w:gridCol w:w="1560"/>
              <w:gridCol w:w="1725"/>
              <w:gridCol w:w="1875"/>
              <w:gridCol w:w="19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135"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项目名称</w:t>
                  </w:r>
                </w:p>
              </w:tc>
              <w:tc>
                <w:tcPr>
                  <w:tcW w:w="552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备灾救灾中心工作专项经费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3135"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预算单位</w:t>
                  </w:r>
                </w:p>
              </w:tc>
              <w:tc>
                <w:tcPr>
                  <w:tcW w:w="552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甘孜州红十字会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235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预算数：</w:t>
                  </w: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28</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执行数：</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28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235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其中：财政拨款</w:t>
                  </w: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28</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其中：财政拨款</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28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235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其他资金</w:t>
                  </w: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　</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其他资金</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408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预期目标</w:t>
                  </w:r>
                </w:p>
              </w:tc>
              <w:tc>
                <w:tcPr>
                  <w:tcW w:w="379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实际完成目标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408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备灾救灾中心为实现救灾工作高效运行创造必要物资条件，也将为进一步完善红十字会储备救援体系、更加科学有效地应对突发事件提供重要保证。1.储备物资，为灾情、突发事件等做好充分准备；2.查灾核灾救灾，做好在灾情的各项工作；3.物资和应急车辆维护费，物资补充差旅费；4.应急救援、志愿者队伍建设，普及卫生救护和防病知识，进行初级卫生救护培训等。</w:t>
                  </w:r>
                </w:p>
              </w:tc>
              <w:tc>
                <w:tcPr>
                  <w:tcW w:w="379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备灾救灾中心物资储备1批次，发放物资6批次。查灾核灾救灾工作6次，开展应急救护普及培训18次，培训8500余人（次），开展救护员培训七批次，培训救护员447人。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绩效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7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一级指标</w:t>
                  </w: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二级指标</w:t>
                  </w: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三级指标</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预期指标值（包含数字及文字描述）</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实际完成指标值（包含数字及文字描述）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795"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项目完成指标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156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数量指标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物资储备</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5万元左右</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物资储备1批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79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56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查灾核灾救灾工作</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≥5次</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查灾核灾救灾工作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79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56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物资和应急车辆维护</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2万</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物资和应急车辆维护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79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物资补充差旅费</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6万</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物资补充差旅费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79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应急救援、志愿者队伍建设，普及卫生救护和防病知识，进行初级卫生救护培训</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10万</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开展应急救护普及培训18次，培训8500余人（次），开展救护员培训七批次，培训救护员447人。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79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56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质量指标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使用合规</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5"/>
                      <w:szCs w:val="15"/>
                    </w:rPr>
                  </w:pPr>
                  <w:r>
                    <w:rPr>
                      <w:rFonts w:hint="eastAsia" w:ascii="宋体" w:hAnsi="宋体" w:eastAsia="宋体" w:cs="宋体"/>
                      <w:sz w:val="15"/>
                      <w:szCs w:val="15"/>
                    </w:rPr>
                    <w:t>项目资金使用符合相关的财务管理制度规定</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5"/>
                      <w:szCs w:val="15"/>
                    </w:rPr>
                  </w:pPr>
                  <w:r>
                    <w:rPr>
                      <w:rFonts w:hint="eastAsia" w:ascii="宋体" w:hAnsi="宋体" w:eastAsia="宋体" w:cs="宋体"/>
                      <w:sz w:val="15"/>
                      <w:szCs w:val="15"/>
                    </w:rPr>
                    <w:t>符合相关的财务管理制度规定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79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56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工作保障率</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100%</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79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56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储备物资，为灾情、突发事件等做好充分准备；应急救援、志愿者队伍建设，普及卫生救护和防病知识，进行初级卫生救护培训等。</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储备物资，为灾情、突发事件等做好充分准备；应急救援、志愿者队伍建设，普及卫生救护和防病知识，进行初级卫生救护培训等。</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储备物资，为灾情、突发事件等做好充分准备；应急救援、志愿者队伍建设，普及卫生救护和防病知识，进行初级卫生救护培训等。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79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时效指标</w:t>
                  </w: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完成时间</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2022年</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2022年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79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成本指标</w:t>
                  </w: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备灾救灾中心工作专项经费</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28</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28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795"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项目效果指标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经济效益指标</w:t>
                  </w: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资金使用率</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100%</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79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社会效益指标</w:t>
                  </w: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储备物资，为灾情、突发事件等做好充分准备</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储备物资，为灾情、突发事件等做好充分准备</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储备物资，为灾情、突发事件等做好充分准备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79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可持续影响指标</w:t>
                  </w: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储备物资，为灾情、突发事件等做好充分准备</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储备物资，为灾情、突发事件等做好充分准备</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储备物资，为灾情、突发事件等做好充分准备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7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满意度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指标</w:t>
                  </w: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满意度指标</w:t>
                  </w:r>
                </w:p>
              </w:tc>
              <w:tc>
                <w:tcPr>
                  <w:tcW w:w="17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群众满意度</w:t>
                  </w:r>
                </w:p>
              </w:tc>
              <w:tc>
                <w:tcPr>
                  <w:tcW w:w="18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90%</w:t>
                  </w:r>
                </w:p>
              </w:tc>
              <w:tc>
                <w:tcPr>
                  <w:tcW w:w="19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90%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注：项目支出包括部门预算支出和专项预算支出</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firstLine="0"/>
        <w:rPr>
          <w:rFonts w:hint="eastAsia" w:ascii="宋体" w:hAnsi="宋体" w:eastAsia="宋体" w:cs="宋体"/>
          <w:i w:val="0"/>
          <w:caps w:val="0"/>
          <w:color w:val="000000"/>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firstLine="0"/>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shd w:val="clear" w:fill="FFFFFF"/>
        </w:rPr>
        <w:t>-附件2</w:t>
      </w:r>
    </w:p>
    <w:tbl>
      <w:tblPr>
        <w:tblStyle w:val="5"/>
        <w:tblW w:w="162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48"/>
        <w:gridCol w:w="1458"/>
        <w:gridCol w:w="2042"/>
        <w:gridCol w:w="2439"/>
        <w:gridCol w:w="424"/>
        <w:gridCol w:w="3155"/>
        <w:gridCol w:w="23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3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附件4：</w:t>
            </w:r>
          </w:p>
        </w:tc>
        <w:tc>
          <w:tcPr>
            <w:tcW w:w="145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20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243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4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31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23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31"/>
                <w:szCs w:val="31"/>
              </w:rPr>
            </w:pPr>
            <w:r>
              <w:rPr>
                <w:rStyle w:val="7"/>
                <w:rFonts w:hint="eastAsia" w:ascii="宋体" w:hAnsi="宋体" w:eastAsia="宋体" w:cs="宋体"/>
                <w:i w:val="0"/>
                <w:caps w:val="0"/>
                <w:color w:val="000000"/>
                <w:spacing w:val="0"/>
                <w:sz w:val="31"/>
                <w:szCs w:val="31"/>
              </w:rPr>
              <w:t>项目支出绩效目标自评表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r>
              <w:rPr>
                <w:rFonts w:hint="eastAsia" w:ascii="宋体" w:hAnsi="宋体" w:eastAsia="宋体" w:cs="宋体"/>
                <w:i w:val="0"/>
                <w:caps w:val="0"/>
                <w:color w:val="000000"/>
                <w:spacing w:val="0"/>
                <w:sz w:val="27"/>
                <w:szCs w:val="27"/>
              </w:rPr>
              <w:t>（ 2022 年度）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注：项目支出包括部门预算支出和专项预算支出</w:t>
            </w:r>
          </w:p>
        </w:tc>
      </w:tr>
    </w:tbl>
    <w:p>
      <w:pPr>
        <w:rPr>
          <w:vanish/>
          <w:sz w:val="24"/>
          <w:szCs w:val="24"/>
        </w:rPr>
      </w:pPr>
    </w:p>
    <w:tbl>
      <w:tblPr>
        <w:tblStyle w:val="5"/>
        <w:tblW w:w="162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14"/>
        <w:gridCol w:w="1403"/>
        <w:gridCol w:w="2409"/>
        <w:gridCol w:w="371"/>
        <w:gridCol w:w="2568"/>
        <w:gridCol w:w="3388"/>
        <w:gridCol w:w="444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PrEx>
        <w:tc>
          <w:tcPr>
            <w:tcW w:w="5426"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项目名称</w:t>
            </w:r>
          </w:p>
        </w:tc>
        <w:tc>
          <w:tcPr>
            <w:tcW w:w="10774"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基层党组织活动经费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426"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预算单位</w:t>
            </w:r>
          </w:p>
        </w:tc>
        <w:tc>
          <w:tcPr>
            <w:tcW w:w="10774"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甘孜州红十字会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14"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2"/>
                <w:szCs w:val="12"/>
              </w:rPr>
            </w:pPr>
            <w:r>
              <w:rPr>
                <w:rFonts w:hint="eastAsia" w:ascii="宋体" w:hAnsi="宋体" w:eastAsia="宋体" w:cs="宋体"/>
                <w:i w:val="0"/>
                <w:caps w:val="0"/>
                <w:color w:val="000000"/>
                <w:spacing w:val="0"/>
                <w:sz w:val="12"/>
                <w:szCs w:val="12"/>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38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预算数：</w:t>
            </w:r>
          </w:p>
        </w:tc>
        <w:tc>
          <w:tcPr>
            <w:tcW w:w="293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4.5</w:t>
            </w:r>
          </w:p>
        </w:tc>
        <w:tc>
          <w:tcPr>
            <w:tcW w:w="338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执行数：</w:t>
            </w:r>
          </w:p>
        </w:tc>
        <w:tc>
          <w:tcPr>
            <w:tcW w:w="4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1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38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其中：财政拨款</w:t>
            </w:r>
          </w:p>
        </w:tc>
        <w:tc>
          <w:tcPr>
            <w:tcW w:w="293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4.5</w:t>
            </w:r>
          </w:p>
        </w:tc>
        <w:tc>
          <w:tcPr>
            <w:tcW w:w="338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其中：财政拨款</w:t>
            </w:r>
          </w:p>
        </w:tc>
        <w:tc>
          <w:tcPr>
            <w:tcW w:w="4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1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38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其他资金</w:t>
            </w:r>
          </w:p>
        </w:tc>
        <w:tc>
          <w:tcPr>
            <w:tcW w:w="293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　</w:t>
            </w:r>
          </w:p>
        </w:tc>
        <w:tc>
          <w:tcPr>
            <w:tcW w:w="338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其他资金</w:t>
            </w:r>
          </w:p>
        </w:tc>
        <w:tc>
          <w:tcPr>
            <w:tcW w:w="4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14"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6751"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预期目标</w:t>
            </w:r>
          </w:p>
        </w:tc>
        <w:tc>
          <w:tcPr>
            <w:tcW w:w="783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实际完成目标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1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6751"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为了加强党的建设，扎实开展党支部的各项工作，丰富基层党建工作，全面提高党员干部队伍素质，充分发挥基层党组织的战斗堡垒作用，不断增强党组织的凝聚力和战斗力。开展党建工作、党员学习培训、赴各县调研等。</w:t>
            </w:r>
          </w:p>
        </w:tc>
        <w:tc>
          <w:tcPr>
            <w:tcW w:w="783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一是加强学习。认真学习党的二十大精神，专题组织学习《党章》《中国共产党党组工作条例》等规定，认真学习贯彻习近平新时代中国特色社会主义思想，习近平总书记对红十字会工作的重要指示，认真落实习近平总书记对四川工作、涉藏工作系列重要指示精神，全面贯彻中央第七次西藏工作座谈会精神和省委涉藏工作会议精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14"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绩效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140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一级指标</w:t>
            </w:r>
          </w:p>
        </w:tc>
        <w:tc>
          <w:tcPr>
            <w:tcW w:w="278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二级指标</w:t>
            </w:r>
          </w:p>
        </w:tc>
        <w:tc>
          <w:tcPr>
            <w:tcW w:w="256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三级指标</w:t>
            </w:r>
          </w:p>
        </w:tc>
        <w:tc>
          <w:tcPr>
            <w:tcW w:w="338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预期指标值（包含数字及文字描述）</w:t>
            </w:r>
          </w:p>
        </w:tc>
        <w:tc>
          <w:tcPr>
            <w:tcW w:w="4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实际完成指标值（包含数字及文字描述）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1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40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项目完成指标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278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数量指标</w:t>
            </w:r>
          </w:p>
        </w:tc>
        <w:tc>
          <w:tcPr>
            <w:tcW w:w="256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组织开展活动</w:t>
            </w:r>
          </w:p>
        </w:tc>
        <w:tc>
          <w:tcPr>
            <w:tcW w:w="338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 xml:space="preserve">3 </w:t>
            </w:r>
          </w:p>
        </w:tc>
        <w:tc>
          <w:tcPr>
            <w:tcW w:w="4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 xml:space="preserve">3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1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40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780"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质量指标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256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使用合规</w:t>
            </w:r>
          </w:p>
        </w:tc>
        <w:tc>
          <w:tcPr>
            <w:tcW w:w="338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项目资金使用符合相关的财务管理制度规定</w:t>
            </w:r>
          </w:p>
        </w:tc>
        <w:tc>
          <w:tcPr>
            <w:tcW w:w="4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符合相关的财务管理制度规定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61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40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780"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56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工作保障率</w:t>
            </w:r>
          </w:p>
        </w:tc>
        <w:tc>
          <w:tcPr>
            <w:tcW w:w="338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100%</w:t>
            </w:r>
          </w:p>
        </w:tc>
        <w:tc>
          <w:tcPr>
            <w:tcW w:w="4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righ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61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40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780"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56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加强队伍建设，提高党员素质</w:t>
            </w:r>
          </w:p>
        </w:tc>
        <w:tc>
          <w:tcPr>
            <w:tcW w:w="338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强化队伍建设，提高党员素质</w:t>
            </w:r>
          </w:p>
        </w:tc>
        <w:tc>
          <w:tcPr>
            <w:tcW w:w="4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强化队伍建设，提高党员素质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61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40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78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时效指标</w:t>
            </w:r>
          </w:p>
        </w:tc>
        <w:tc>
          <w:tcPr>
            <w:tcW w:w="256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完成时间</w:t>
            </w:r>
          </w:p>
        </w:tc>
        <w:tc>
          <w:tcPr>
            <w:tcW w:w="338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2022年</w:t>
            </w:r>
          </w:p>
        </w:tc>
        <w:tc>
          <w:tcPr>
            <w:tcW w:w="4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2022年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61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40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78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成本指标</w:t>
            </w:r>
          </w:p>
        </w:tc>
        <w:tc>
          <w:tcPr>
            <w:tcW w:w="256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基层党组织活动经费</w:t>
            </w:r>
          </w:p>
        </w:tc>
        <w:tc>
          <w:tcPr>
            <w:tcW w:w="338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4.5</w:t>
            </w:r>
          </w:p>
        </w:tc>
        <w:tc>
          <w:tcPr>
            <w:tcW w:w="4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61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40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项目效果指标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c>
          <w:tcPr>
            <w:tcW w:w="278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经济效益指标</w:t>
            </w:r>
          </w:p>
        </w:tc>
        <w:tc>
          <w:tcPr>
            <w:tcW w:w="256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资金使用率</w:t>
            </w:r>
          </w:p>
        </w:tc>
        <w:tc>
          <w:tcPr>
            <w:tcW w:w="338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100%</w:t>
            </w:r>
          </w:p>
        </w:tc>
        <w:tc>
          <w:tcPr>
            <w:tcW w:w="4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1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40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78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社会效益指标</w:t>
            </w:r>
          </w:p>
        </w:tc>
        <w:tc>
          <w:tcPr>
            <w:tcW w:w="256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加强队伍建设，提高党员素质</w:t>
            </w:r>
          </w:p>
        </w:tc>
        <w:tc>
          <w:tcPr>
            <w:tcW w:w="338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强化队伍建设，提高党员素质</w:t>
            </w:r>
          </w:p>
        </w:tc>
        <w:tc>
          <w:tcPr>
            <w:tcW w:w="4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强化队伍建设，提高党员素质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61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40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78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可持续影响指标</w:t>
            </w:r>
          </w:p>
        </w:tc>
        <w:tc>
          <w:tcPr>
            <w:tcW w:w="256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党员活动长效机制不断完善</w:t>
            </w:r>
          </w:p>
        </w:tc>
        <w:tc>
          <w:tcPr>
            <w:tcW w:w="338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党员活动长效机制不断完善</w:t>
            </w:r>
          </w:p>
        </w:tc>
        <w:tc>
          <w:tcPr>
            <w:tcW w:w="4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党员活动长效机制不断完善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1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40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满意度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指标</w:t>
            </w:r>
          </w:p>
        </w:tc>
        <w:tc>
          <w:tcPr>
            <w:tcW w:w="278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满意度指标</w:t>
            </w:r>
          </w:p>
        </w:tc>
        <w:tc>
          <w:tcPr>
            <w:tcW w:w="256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党员干部满意度</w:t>
            </w:r>
          </w:p>
        </w:tc>
        <w:tc>
          <w:tcPr>
            <w:tcW w:w="338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99%</w:t>
            </w:r>
          </w:p>
        </w:tc>
        <w:tc>
          <w:tcPr>
            <w:tcW w:w="44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i w:val="0"/>
                <w:caps w:val="0"/>
                <w:color w:val="000000"/>
                <w:spacing w:val="0"/>
                <w:sz w:val="19"/>
                <w:szCs w:val="19"/>
              </w:rPr>
              <w:t>99%</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firstLine="555"/>
        <w:rPr>
          <w:rFonts w:hint="eastAsia" w:ascii="宋体" w:hAnsi="宋体" w:eastAsia="宋体" w:cs="宋体"/>
          <w:i w:val="0"/>
          <w:caps w:val="0"/>
          <w:color w:val="000000"/>
          <w:spacing w:val="0"/>
          <w:sz w:val="27"/>
          <w:szCs w:val="27"/>
        </w:rPr>
      </w:pPr>
    </w:p>
    <w:tbl>
      <w:tblPr>
        <w:tblStyle w:val="5"/>
        <w:tblW w:w="162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30"/>
        <w:gridCol w:w="1419"/>
        <w:gridCol w:w="1987"/>
        <w:gridCol w:w="2374"/>
        <w:gridCol w:w="447"/>
        <w:gridCol w:w="3071"/>
        <w:gridCol w:w="227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附件4：</w:t>
            </w:r>
          </w:p>
        </w:tc>
        <w:tc>
          <w:tcPr>
            <w:tcW w:w="141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198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2374"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44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30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22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31"/>
                <w:szCs w:val="31"/>
              </w:rPr>
            </w:pPr>
            <w:r>
              <w:rPr>
                <w:rStyle w:val="7"/>
                <w:rFonts w:hint="eastAsia" w:ascii="宋体" w:hAnsi="宋体" w:eastAsia="宋体" w:cs="宋体"/>
                <w:i w:val="0"/>
                <w:caps w:val="0"/>
                <w:color w:val="000000"/>
                <w:spacing w:val="0"/>
                <w:sz w:val="31"/>
                <w:szCs w:val="31"/>
              </w:rPr>
              <w:t>项目支出绩效目标自评表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r>
              <w:rPr>
                <w:rFonts w:hint="eastAsia" w:ascii="宋体" w:hAnsi="宋体" w:eastAsia="宋体" w:cs="宋体"/>
                <w:i w:val="0"/>
                <w:caps w:val="0"/>
                <w:color w:val="000000"/>
                <w:spacing w:val="0"/>
                <w:sz w:val="27"/>
                <w:szCs w:val="27"/>
              </w:rPr>
              <w:t>（ 2022 年度）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tbl>
            <w:tblPr>
              <w:tblStyle w:val="5"/>
              <w:tblW w:w="9180" w:type="dxa"/>
              <w:tblInd w:w="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5"/>
              <w:gridCol w:w="930"/>
              <w:gridCol w:w="1095"/>
              <w:gridCol w:w="15"/>
              <w:gridCol w:w="1425"/>
              <w:gridCol w:w="2235"/>
              <w:gridCol w:w="25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94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项目名称</w:t>
                  </w:r>
                </w:p>
              </w:tc>
              <w:tc>
                <w:tcPr>
                  <w:tcW w:w="6240"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救灾物资及储藏管理专项经费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94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预算单位</w:t>
                  </w:r>
                </w:p>
              </w:tc>
              <w:tc>
                <w:tcPr>
                  <w:tcW w:w="6240"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甘孜州红十字会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15"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8"/>
                      <w:szCs w:val="18"/>
                    </w:rPr>
                  </w:pPr>
                  <w:r>
                    <w:rPr>
                      <w:rFonts w:hint="eastAsia" w:ascii="宋体" w:hAnsi="宋体" w:eastAsia="宋体" w:cs="宋体"/>
                      <w:sz w:val="18"/>
                      <w:szCs w:val="18"/>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both"/>
                    <w:rPr>
                      <w:rFonts w:hint="eastAsia" w:ascii="宋体" w:hAnsi="宋体" w:eastAsia="宋体" w:cs="宋体"/>
                      <w:sz w:val="18"/>
                      <w:szCs w:val="18"/>
                    </w:rPr>
                  </w:pPr>
                  <w:r>
                    <w:rPr>
                      <w:rFonts w:hint="eastAsia" w:ascii="宋体" w:hAnsi="宋体" w:eastAsia="宋体" w:cs="宋体"/>
                      <w:sz w:val="18"/>
                      <w:szCs w:val="18"/>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202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预算数：</w:t>
                  </w:r>
                </w:p>
              </w:tc>
              <w:tc>
                <w:tcPr>
                  <w:tcW w:w="144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15</w:t>
                  </w:r>
                </w:p>
              </w:tc>
              <w:tc>
                <w:tcPr>
                  <w:tcW w:w="22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执行数：</w:t>
                  </w:r>
                </w:p>
              </w:tc>
              <w:tc>
                <w:tcPr>
                  <w:tcW w:w="25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1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202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其中：财政拨款</w:t>
                  </w:r>
                </w:p>
              </w:tc>
              <w:tc>
                <w:tcPr>
                  <w:tcW w:w="144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15</w:t>
                  </w:r>
                </w:p>
              </w:tc>
              <w:tc>
                <w:tcPr>
                  <w:tcW w:w="22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其中：财政拨款</w:t>
                  </w:r>
                </w:p>
              </w:tc>
              <w:tc>
                <w:tcPr>
                  <w:tcW w:w="25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1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202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其他资金</w:t>
                  </w:r>
                </w:p>
              </w:tc>
              <w:tc>
                <w:tcPr>
                  <w:tcW w:w="144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　</w:t>
                  </w:r>
                </w:p>
              </w:tc>
              <w:tc>
                <w:tcPr>
                  <w:tcW w:w="22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其他资金</w:t>
                  </w:r>
                </w:p>
              </w:tc>
              <w:tc>
                <w:tcPr>
                  <w:tcW w:w="25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15"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3465"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预期目标</w:t>
                  </w:r>
                </w:p>
              </w:tc>
              <w:tc>
                <w:tcPr>
                  <w:tcW w:w="480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实际完成目标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1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3465"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both"/>
                    <w:rPr>
                      <w:rFonts w:hint="eastAsia" w:ascii="宋体" w:hAnsi="宋体" w:eastAsia="宋体" w:cs="宋体"/>
                      <w:sz w:val="19"/>
                      <w:szCs w:val="19"/>
                    </w:rPr>
                  </w:pPr>
                  <w:r>
                    <w:rPr>
                      <w:rFonts w:hint="eastAsia" w:ascii="宋体" w:hAnsi="宋体" w:eastAsia="宋体" w:cs="宋体"/>
                      <w:sz w:val="19"/>
                      <w:szCs w:val="19"/>
                    </w:rPr>
                    <w:t>在日常工作中十分重视各县的灾情发生情况，与州应急中心保持十分秘切的工作联系，及时向省红十字会上报我州各县发生的灾情，为全州各县争取救灾物资，并及时送到时灾民手中。</w:t>
                  </w:r>
                </w:p>
              </w:tc>
              <w:tc>
                <w:tcPr>
                  <w:tcW w:w="480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在日常工作中十分重视各县的灾情发生情况，与州应急中心保持十分秘切的工作联系，及时向省红十字会上报我州各县发生的灾情，为全州各县争取救灾物资，并及时送到时灾民手中。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15"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绩效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93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一级指标</w:t>
                  </w:r>
                </w:p>
              </w:tc>
              <w:tc>
                <w:tcPr>
                  <w:tcW w:w="111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二级指标</w:t>
                  </w:r>
                </w:p>
              </w:tc>
              <w:tc>
                <w:tcPr>
                  <w:tcW w:w="1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三级指标</w:t>
                  </w:r>
                </w:p>
              </w:tc>
              <w:tc>
                <w:tcPr>
                  <w:tcW w:w="22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预期指标值（包含数字及文字描述）</w:t>
                  </w:r>
                </w:p>
              </w:tc>
              <w:tc>
                <w:tcPr>
                  <w:tcW w:w="25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实际完成指标值（包含数字及文字描述）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1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3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项目完成指标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1110"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数量指标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1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仓库管理人员工资社保</w:t>
                  </w:r>
                </w:p>
              </w:tc>
              <w:tc>
                <w:tcPr>
                  <w:tcW w:w="22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2人12个月工资及社保</w:t>
                  </w:r>
                </w:p>
              </w:tc>
              <w:tc>
                <w:tcPr>
                  <w:tcW w:w="25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1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3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110"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备灾救灾中心管理费</w:t>
                  </w:r>
                </w:p>
              </w:tc>
              <w:tc>
                <w:tcPr>
                  <w:tcW w:w="22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日常管理费用</w:t>
                  </w:r>
                </w:p>
              </w:tc>
              <w:tc>
                <w:tcPr>
                  <w:tcW w:w="25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≥3万元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1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3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110"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质量指标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1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使用合规</w:t>
                  </w:r>
                </w:p>
              </w:tc>
              <w:tc>
                <w:tcPr>
                  <w:tcW w:w="22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项目资金使用符合相关的财务管理制度规定</w:t>
                  </w:r>
                </w:p>
              </w:tc>
              <w:tc>
                <w:tcPr>
                  <w:tcW w:w="25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符合相关的财务管理制度规定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1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3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110"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工作保障率</w:t>
                  </w:r>
                </w:p>
              </w:tc>
              <w:tc>
                <w:tcPr>
                  <w:tcW w:w="22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c>
                <w:tcPr>
                  <w:tcW w:w="25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1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3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11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时效指标</w:t>
                  </w:r>
                </w:p>
              </w:tc>
              <w:tc>
                <w:tcPr>
                  <w:tcW w:w="1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完成时间</w:t>
                  </w:r>
                </w:p>
              </w:tc>
              <w:tc>
                <w:tcPr>
                  <w:tcW w:w="22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2022年</w:t>
                  </w:r>
                </w:p>
              </w:tc>
              <w:tc>
                <w:tcPr>
                  <w:tcW w:w="25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2022年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1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3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11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成本指标</w:t>
                  </w:r>
                </w:p>
              </w:tc>
              <w:tc>
                <w:tcPr>
                  <w:tcW w:w="1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22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15</w:t>
                  </w:r>
                </w:p>
              </w:tc>
              <w:tc>
                <w:tcPr>
                  <w:tcW w:w="25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1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3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项目效果指标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111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经济效益指标</w:t>
                  </w:r>
                </w:p>
              </w:tc>
              <w:tc>
                <w:tcPr>
                  <w:tcW w:w="1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资金使用率</w:t>
                  </w:r>
                </w:p>
              </w:tc>
              <w:tc>
                <w:tcPr>
                  <w:tcW w:w="22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c>
                <w:tcPr>
                  <w:tcW w:w="25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91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3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11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社会效益指标</w:t>
                  </w:r>
                </w:p>
              </w:tc>
              <w:tc>
                <w:tcPr>
                  <w:tcW w:w="1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为灾情、突发事件等做好充分准备</w:t>
                  </w:r>
                </w:p>
              </w:tc>
              <w:tc>
                <w:tcPr>
                  <w:tcW w:w="22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为灾情、突发事件等做好充分准备</w:t>
                  </w:r>
                </w:p>
              </w:tc>
              <w:tc>
                <w:tcPr>
                  <w:tcW w:w="25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为灾情、突发事件等做好充分准备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91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3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111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可持续影响指标</w:t>
                  </w:r>
                </w:p>
              </w:tc>
              <w:tc>
                <w:tcPr>
                  <w:tcW w:w="1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为灾情、突发事件等做好充分准备</w:t>
                  </w:r>
                </w:p>
              </w:tc>
              <w:tc>
                <w:tcPr>
                  <w:tcW w:w="22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为灾情、突发事件等做好充分准备</w:t>
                  </w:r>
                </w:p>
              </w:tc>
              <w:tc>
                <w:tcPr>
                  <w:tcW w:w="25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为灾情、突发事件等做好充分准备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1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sz w:val="24"/>
                      <w:szCs w:val="24"/>
                    </w:rPr>
                  </w:pPr>
                </w:p>
              </w:tc>
              <w:tc>
                <w:tcPr>
                  <w:tcW w:w="93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满意度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指标</w:t>
                  </w:r>
                </w:p>
              </w:tc>
              <w:tc>
                <w:tcPr>
                  <w:tcW w:w="111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满意度指标</w:t>
                  </w:r>
                </w:p>
              </w:tc>
              <w:tc>
                <w:tcPr>
                  <w:tcW w:w="14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群众满意度</w:t>
                  </w:r>
                </w:p>
              </w:tc>
              <w:tc>
                <w:tcPr>
                  <w:tcW w:w="223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90%</w:t>
                  </w:r>
                </w:p>
              </w:tc>
              <w:tc>
                <w:tcPr>
                  <w:tcW w:w="25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90%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注：项目支出包括部门预算支出和专项预算支出</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firstLine="630"/>
        <w:rPr>
          <w:rFonts w:hint="eastAsia" w:ascii="宋体" w:hAnsi="宋体" w:eastAsia="宋体" w:cs="宋体"/>
          <w:i w:val="0"/>
          <w:caps w:val="0"/>
          <w:color w:val="000000"/>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firstLine="0"/>
        <w:rPr>
          <w:rFonts w:hint="eastAsia" w:ascii="宋体" w:hAnsi="宋体" w:eastAsia="宋体" w:cs="宋体"/>
          <w:i w:val="0"/>
          <w:caps w:val="0"/>
          <w:color w:val="000000"/>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firstLine="0"/>
        <w:rPr>
          <w:rFonts w:hint="eastAsia" w:ascii="宋体" w:hAnsi="宋体" w:eastAsia="宋体" w:cs="宋体"/>
          <w:i w:val="0"/>
          <w:caps w:val="0"/>
          <w:color w:val="000000"/>
          <w:spacing w:val="0"/>
          <w:sz w:val="27"/>
          <w:szCs w:val="27"/>
        </w:rPr>
      </w:pPr>
    </w:p>
    <w:tbl>
      <w:tblPr>
        <w:tblStyle w:val="5"/>
        <w:tblW w:w="162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48"/>
        <w:gridCol w:w="1458"/>
        <w:gridCol w:w="2042"/>
        <w:gridCol w:w="2439"/>
        <w:gridCol w:w="424"/>
        <w:gridCol w:w="3155"/>
        <w:gridCol w:w="23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3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附件4：</w:t>
            </w:r>
          </w:p>
        </w:tc>
        <w:tc>
          <w:tcPr>
            <w:tcW w:w="145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20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243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4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31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23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31"/>
                <w:szCs w:val="31"/>
              </w:rPr>
            </w:pPr>
            <w:r>
              <w:rPr>
                <w:rStyle w:val="7"/>
                <w:rFonts w:hint="eastAsia" w:ascii="宋体" w:hAnsi="宋体" w:eastAsia="宋体" w:cs="宋体"/>
                <w:i w:val="0"/>
                <w:caps w:val="0"/>
                <w:color w:val="000000"/>
                <w:spacing w:val="0"/>
                <w:sz w:val="31"/>
                <w:szCs w:val="31"/>
              </w:rPr>
              <w:t>项目支出绩效目标自评表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r>
              <w:rPr>
                <w:rFonts w:hint="eastAsia" w:ascii="宋体" w:hAnsi="宋体" w:eastAsia="宋体" w:cs="宋体"/>
                <w:i w:val="0"/>
                <w:caps w:val="0"/>
                <w:color w:val="000000"/>
                <w:spacing w:val="0"/>
                <w:sz w:val="27"/>
                <w:szCs w:val="27"/>
              </w:rPr>
              <w:t>（ 2022 年度）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tbl>
            <w:tblPr>
              <w:tblStyle w:val="5"/>
              <w:tblW w:w="8655" w:type="dxa"/>
              <w:tblInd w:w="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0"/>
              <w:gridCol w:w="915"/>
              <w:gridCol w:w="1140"/>
              <w:gridCol w:w="105"/>
              <w:gridCol w:w="1470"/>
              <w:gridCol w:w="2115"/>
              <w:gridCol w:w="213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94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项目名称</w:t>
                  </w:r>
                </w:p>
              </w:tc>
              <w:tc>
                <w:tcPr>
                  <w:tcW w:w="571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备灾中心设施设备专项经费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94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预算单位</w:t>
                  </w:r>
                </w:p>
              </w:tc>
              <w:tc>
                <w:tcPr>
                  <w:tcW w:w="571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甘孜州红十字会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216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预算数：</w:t>
                  </w:r>
                </w:p>
              </w:tc>
              <w:tc>
                <w:tcPr>
                  <w:tcW w:w="14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15</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执行数：</w:t>
                  </w:r>
                </w:p>
              </w:tc>
              <w:tc>
                <w:tcPr>
                  <w:tcW w:w="21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216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其中：财政拨款</w:t>
                  </w:r>
                </w:p>
              </w:tc>
              <w:tc>
                <w:tcPr>
                  <w:tcW w:w="14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15</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其中：财政拨款</w:t>
                  </w:r>
                </w:p>
              </w:tc>
              <w:tc>
                <w:tcPr>
                  <w:tcW w:w="21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216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其他资金</w:t>
                  </w:r>
                </w:p>
              </w:tc>
              <w:tc>
                <w:tcPr>
                  <w:tcW w:w="14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　</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其他资金</w:t>
                  </w:r>
                </w:p>
              </w:tc>
              <w:tc>
                <w:tcPr>
                  <w:tcW w:w="21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8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363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预期目标</w:t>
                  </w: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实际完成目标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363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备灾救灾中心设施设备短缺和老旧，不能及时有效的满足救灾备灾需要，目前急需改造备灾救灾中心办公场所，购置仓储及办公设施设备，改善备灾救灾物资仓储条件及办公条件。</w:t>
                  </w: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备灾救灾中心设施设备短缺和老旧，改造后能及时有效的满足救灾备灾需要。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绩效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9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一级指标</w:t>
                  </w:r>
                </w:p>
              </w:tc>
              <w:tc>
                <w:tcPr>
                  <w:tcW w:w="11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二级指标</w:t>
                  </w: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三级指标</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预期指标值（包含数字及文字描述）</w:t>
                  </w:r>
                </w:p>
              </w:tc>
              <w:tc>
                <w:tcPr>
                  <w:tcW w:w="21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实际完成指标值（包含数字及文字描述）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项目完成指标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数量指标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购置仓储及办公设施设备</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1次</w:t>
                  </w:r>
                </w:p>
              </w:tc>
              <w:tc>
                <w:tcPr>
                  <w:tcW w:w="21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改造备灾救灾中心办公场所</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1次</w:t>
                  </w:r>
                </w:p>
              </w:tc>
              <w:tc>
                <w:tcPr>
                  <w:tcW w:w="21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质量指标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使用合规</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项目资金使用符合相关的财务管理制度规定</w:t>
                  </w:r>
                </w:p>
              </w:tc>
              <w:tc>
                <w:tcPr>
                  <w:tcW w:w="21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符合相关的财务管理制度规定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工作保障率</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c>
                <w:tcPr>
                  <w:tcW w:w="21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11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时效指标</w:t>
                  </w: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完成时间</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2022年</w:t>
                  </w:r>
                </w:p>
              </w:tc>
              <w:tc>
                <w:tcPr>
                  <w:tcW w:w="21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2022年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11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成本指标</w:t>
                  </w: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购置仓储及办公设施设备；改造备灾救灾中心办公场所</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15</w:t>
                  </w:r>
                </w:p>
              </w:tc>
              <w:tc>
                <w:tcPr>
                  <w:tcW w:w="21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项目效果指标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11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经济效益指标</w:t>
                  </w: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资金使用率</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c>
                <w:tcPr>
                  <w:tcW w:w="21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11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可持续影响指标</w:t>
                  </w: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有效满足救灾备灾需要</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有效满足救灾备灾需要</w:t>
                  </w:r>
                </w:p>
              </w:tc>
              <w:tc>
                <w:tcPr>
                  <w:tcW w:w="21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有效满足救灾备灾需要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满意度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指标</w:t>
                  </w:r>
                </w:p>
              </w:tc>
              <w:tc>
                <w:tcPr>
                  <w:tcW w:w="11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满意度指标</w:t>
                  </w: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群众满意度</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90%</w:t>
                  </w:r>
                </w:p>
              </w:tc>
              <w:tc>
                <w:tcPr>
                  <w:tcW w:w="21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90%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注：项目支出包括部门预算支出和专项预算支出</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firstLine="0"/>
        <w:rPr>
          <w:rFonts w:hint="eastAsia" w:ascii="宋体" w:hAnsi="宋体" w:eastAsia="宋体" w:cs="宋体"/>
          <w:i w:val="0"/>
          <w:caps w:val="0"/>
          <w:color w:val="000000"/>
          <w:spacing w:val="0"/>
          <w:sz w:val="27"/>
          <w:szCs w:val="27"/>
        </w:rPr>
      </w:pPr>
    </w:p>
    <w:tbl>
      <w:tblPr>
        <w:tblStyle w:val="5"/>
        <w:tblW w:w="162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13"/>
        <w:gridCol w:w="1422"/>
        <w:gridCol w:w="1990"/>
        <w:gridCol w:w="2378"/>
        <w:gridCol w:w="446"/>
        <w:gridCol w:w="3076"/>
        <w:gridCol w:w="22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6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附件4：</w:t>
            </w:r>
          </w:p>
        </w:tc>
        <w:tc>
          <w:tcPr>
            <w:tcW w:w="14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1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23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4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307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c>
          <w:tcPr>
            <w:tcW w:w="2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31"/>
                <w:szCs w:val="31"/>
              </w:rPr>
            </w:pPr>
            <w:r>
              <w:rPr>
                <w:rStyle w:val="7"/>
                <w:rFonts w:hint="eastAsia" w:ascii="宋体" w:hAnsi="宋体" w:eastAsia="宋体" w:cs="宋体"/>
                <w:i w:val="0"/>
                <w:caps w:val="0"/>
                <w:color w:val="000000"/>
                <w:spacing w:val="0"/>
                <w:sz w:val="31"/>
                <w:szCs w:val="31"/>
              </w:rPr>
              <w:t>项目支出绩效目标自评表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r>
              <w:rPr>
                <w:rFonts w:hint="eastAsia" w:ascii="宋体" w:hAnsi="宋体" w:eastAsia="宋体" w:cs="宋体"/>
                <w:i w:val="0"/>
                <w:caps w:val="0"/>
                <w:color w:val="000000"/>
                <w:spacing w:val="0"/>
                <w:sz w:val="27"/>
                <w:szCs w:val="27"/>
              </w:rPr>
              <w:t>（ 2022 年度）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620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tbl>
            <w:tblPr>
              <w:tblStyle w:val="5"/>
              <w:tblW w:w="9135" w:type="dxa"/>
              <w:tblInd w:w="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0"/>
              <w:gridCol w:w="915"/>
              <w:gridCol w:w="1140"/>
              <w:gridCol w:w="105"/>
              <w:gridCol w:w="1470"/>
              <w:gridCol w:w="2115"/>
              <w:gridCol w:w="261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294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项目名称</w:t>
                  </w:r>
                </w:p>
              </w:tc>
              <w:tc>
                <w:tcPr>
                  <w:tcW w:w="61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浙江对口援建人道救助项目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294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预算单位</w:t>
                  </w:r>
                </w:p>
              </w:tc>
              <w:tc>
                <w:tcPr>
                  <w:tcW w:w="61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甘孜州红十字会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8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216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预算数：</w:t>
                  </w:r>
                </w:p>
              </w:tc>
              <w:tc>
                <w:tcPr>
                  <w:tcW w:w="14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执行数：</w:t>
                  </w:r>
                </w:p>
              </w:tc>
              <w:tc>
                <w:tcPr>
                  <w:tcW w:w="26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216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其中：财政拨款</w:t>
                  </w:r>
                </w:p>
              </w:tc>
              <w:tc>
                <w:tcPr>
                  <w:tcW w:w="14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其中：财政拨款</w:t>
                  </w:r>
                </w:p>
              </w:tc>
              <w:tc>
                <w:tcPr>
                  <w:tcW w:w="26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216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其他资金</w:t>
                  </w:r>
                </w:p>
              </w:tc>
              <w:tc>
                <w:tcPr>
                  <w:tcW w:w="14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　</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其他资金</w:t>
                  </w:r>
                </w:p>
              </w:tc>
              <w:tc>
                <w:tcPr>
                  <w:tcW w:w="26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8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363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预期目标</w:t>
                  </w:r>
                </w:p>
              </w:tc>
              <w:tc>
                <w:tcPr>
                  <w:tcW w:w="472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实际完成目标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363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9"/>
                      <w:szCs w:val="19"/>
                    </w:rPr>
                  </w:pPr>
                  <w:r>
                    <w:rPr>
                      <w:rFonts w:hint="eastAsia" w:ascii="宋体" w:hAnsi="宋体" w:eastAsia="宋体" w:cs="宋体"/>
                      <w:sz w:val="19"/>
                      <w:szCs w:val="19"/>
                    </w:rPr>
                    <w:t xml:space="preserve">针对全州地处高寒地区，受特殊的地理环境、气候条件、生活习惯等影响，农牧区群众患有风湿性关节炎、先天性骨关节病、尿毒症等疾病较多，因病致贫返贫风险较大的问题.浙江援建资金，整合我会自有慈善资金，主要用于州内尿毒症，肢残患者等贫困人群的救助。 </w:t>
                  </w:r>
                </w:p>
              </w:tc>
              <w:tc>
                <w:tcPr>
                  <w:tcW w:w="472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组织实施了高原肢残患者专项救助项目和尿毒症患者专项救助，帮助困难群众减轻病痛折磨，着力解决群众因病因残致贫返贫问题，得到各级党委政府、社会各界和受助困难群众的赞扬，已成为了全省红十字系统人道救助的品牌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8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绩效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9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一级指标</w:t>
                  </w:r>
                </w:p>
              </w:tc>
              <w:tc>
                <w:tcPr>
                  <w:tcW w:w="11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二级指标</w:t>
                  </w: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三级指标</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预期指标值（包含数字及文字描述）</w:t>
                  </w:r>
                </w:p>
              </w:tc>
              <w:tc>
                <w:tcPr>
                  <w:tcW w:w="26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实际完成指标值（包含数字及文字描述）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项目完成指标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数量指标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救助人数</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≧200人</w:t>
                  </w:r>
                </w:p>
              </w:tc>
              <w:tc>
                <w:tcPr>
                  <w:tcW w:w="26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≧200人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救助资金</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=100万</w:t>
                  </w:r>
                </w:p>
              </w:tc>
              <w:tc>
                <w:tcPr>
                  <w:tcW w:w="26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质量指标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27"/>
                      <w:szCs w:val="27"/>
                    </w:rPr>
                  </w:pP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使用合规</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项目资金使用符合相关的财务管理制度规定</w:t>
                  </w:r>
                </w:p>
              </w:tc>
              <w:tc>
                <w:tcPr>
                  <w:tcW w:w="26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符合相关的财务管理制度规定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工作保障率</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c>
                <w:tcPr>
                  <w:tcW w:w="26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11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时效指标</w:t>
                  </w: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完成时间</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2022年</w:t>
                  </w:r>
                </w:p>
              </w:tc>
              <w:tc>
                <w:tcPr>
                  <w:tcW w:w="26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2022年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11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成本指标</w:t>
                  </w: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18"/>
                      <w:szCs w:val="18"/>
                    </w:rPr>
                  </w:pPr>
                  <w:r>
                    <w:rPr>
                      <w:rFonts w:hint="eastAsia" w:ascii="宋体" w:hAnsi="宋体" w:eastAsia="宋体" w:cs="宋体"/>
                      <w:sz w:val="18"/>
                      <w:szCs w:val="18"/>
                    </w:rPr>
                    <w:t>救助资金</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c>
                <w:tcPr>
                  <w:tcW w:w="26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项目效果指标</w:t>
                  </w:r>
                </w:p>
              </w:tc>
              <w:tc>
                <w:tcPr>
                  <w:tcW w:w="11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经济效益指标</w:t>
                  </w: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资金使用率</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c>
                <w:tcPr>
                  <w:tcW w:w="26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4"/>
                      <w:szCs w:val="24"/>
                    </w:rPr>
                  </w:pPr>
                </w:p>
              </w:tc>
              <w:tc>
                <w:tcPr>
                  <w:tcW w:w="9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满意度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指标</w:t>
                  </w:r>
                </w:p>
              </w:tc>
              <w:tc>
                <w:tcPr>
                  <w:tcW w:w="11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满意度指标</w:t>
                  </w:r>
                </w:p>
              </w:tc>
              <w:tc>
                <w:tcPr>
                  <w:tcW w:w="157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群众满意度</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90%</w:t>
                  </w:r>
                </w:p>
              </w:tc>
              <w:tc>
                <w:tcPr>
                  <w:tcW w:w="26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center"/>
                    <w:rPr>
                      <w:rFonts w:hint="eastAsia" w:ascii="宋体" w:hAnsi="宋体" w:eastAsia="宋体" w:cs="宋体"/>
                      <w:sz w:val="19"/>
                      <w:szCs w:val="19"/>
                    </w:rPr>
                  </w:pPr>
                  <w:r>
                    <w:rPr>
                      <w:rFonts w:hint="eastAsia" w:ascii="宋体" w:hAnsi="宋体" w:eastAsia="宋体" w:cs="宋体"/>
                      <w:sz w:val="19"/>
                      <w:szCs w:val="19"/>
                    </w:rPr>
                    <w:t>90%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 w:afterAutospacing="0" w:line="420"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t>注：项目支出包括部门预算支出和专项预算支出</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right="0" w:firstLine="1606" w:firstLineChars="500"/>
        <w:jc w:val="both"/>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2023年甘孜州红十字会自身能力建设项目绩效自评报告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center"/>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一、项目概况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部门在项目管理中的职能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加大红十字会宣传工作，提高红十字会知晓率；加强红十字队伍建设，切实做好“三救”（应急救援、应急救护、人道救助）、“三献”（献血、献造血干细胞、献人体器官组织）等工作；提升红会干部自身能力，努力发展好红十字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w:t>
      </w:r>
      <w:r>
        <w:rPr>
          <w:rFonts w:hint="eastAsia" w:ascii="仿宋" w:hAnsi="仿宋" w:eastAsia="仿宋" w:cs="仿宋"/>
          <w:i w:val="0"/>
          <w:caps w:val="0"/>
          <w:color w:val="000000"/>
          <w:spacing w:val="0"/>
          <w:sz w:val="32"/>
          <w:szCs w:val="32"/>
        </w:rPr>
        <w:t>项目立项、资金申报的依据。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2021年11月根据州财政要求，我单位编报了备灾救灾中心工作专项经费28万元的项目预算，2022年1月由州级财政部门下达项目预算资金28万元。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 资金或项目管理办法制定情况。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备灾救灾中心为实现救灾工作高效运行创造必要物资条件，也将为进一步完善红十字会储备救援体系、更加科学有效地应对突发事件提供重要保证。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4．</w:t>
      </w:r>
      <w:r>
        <w:rPr>
          <w:rFonts w:hint="eastAsia" w:ascii="仿宋" w:hAnsi="仿宋" w:eastAsia="仿宋" w:cs="仿宋"/>
          <w:i w:val="0"/>
          <w:caps w:val="0"/>
          <w:color w:val="000000"/>
          <w:spacing w:val="0"/>
          <w:sz w:val="32"/>
          <w:szCs w:val="32"/>
        </w:rPr>
        <w:t>资金分配的原则及考虑因素。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2022年该项目资金主要用于备灾救灾中心等工作，项目申报内容与具体实施内容相符，项目申报目标合理可行。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（二）项目绩效目标。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项目主要内容。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组织召开全州红十字系统党风廉政工作会议，全州红十字系统工作会，培训会。应急救护工作；紧急救援工作；人道救助工作；三献工作开展“博爱送万家”活动；“双报到”工作，积极参与社区疫情防控工作。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2．项目应实现的具体绩效目标。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开展全州会议3次，应急救护普及培训18次，培训8500余人（次），开展救护员培训七批次，培训救护员447人，对3800余名肢残患者开展了全面筛查，发放宣传资料1459份。针对滥用药患者开具处方800余人次。向敬老院免费提供价值34600元的药品和保健品。开展三献工作相关活动活动60余次，发放三献工作宣传册30000余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3．分析评价申报内容是否与实际相符，申报目标是否合理可行。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自身能力建设工作为大力弘扬红十字“人道、博爱、奉献”精神，聚焦“三救三献”核心业务，凝聚人道力量，依法履职尽责。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二、项目资金申报及使用情况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（一）项目资金申报及批复情况。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我单位编报了自身能力建设经费20万元的项目预算，2022年1月由州级财政部门下达项目预算资金20万元。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（二）资金计划、到位及使用情况。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资金计划及到位。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根据当年年初工作安排，结合本年度开展的重点工作要求，计划申请州本级专项资金20万元，用于开展自身能力建设相关活动。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2．资金到位。根据当年工作安排，州财政于2022年1月下达“自身能力建设”专项资金20万元，资金全部到位。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3．资金使用。2022年度“自身能力建设”专项资金下达预算20万元，项目经费来源为财政拨款。其中：办公费支出11.01万元；差旅费8.39万元；委托业务费0.6万元。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（三）项目财务管理情况。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专项资金严格按照项目内容使用，做到专款专用。使用专项资金时，全部通过国库集中支付，杜绝虚报、挤占、挪用。项目过程中全部按照管理办法执行，无违反规定的行为发生。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三、项目实施及管理情况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项目工作经费由我会统筹管理，计划使用。坚持“统筹兼顾、保证重点、量入为出、收支平衡”原则。经费重点用于保障日常工作的开展。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四、项目绩效情况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开展应急救护普及培训18次，培训8500余人（次），开展救护员培训七批次，培训救护员447人，其中一名救护员荣获“四川省十大最美红十字救护员”称号；修订完善《甘孜州红十字会自然灾害应急预案》，积极开展自然灾害救灾工作；聚焦“三救三献”核心业务，组织省内14名骨科专家，开展肢残患者术后康复回访检查和送医下乡等相关工作。对3800余名肢残患者开展了全面筛查，发放宣传资料1459份。针对滥用药患者开具处方800余人次。向敬老院免费提供价值34600元的药品和保健品。开展三献工作相关活动活动60余次，发放三献工作宣传册30000余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（二）项目效益情况。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社会效益：自身能力建设工作为大力弘扬红十字“人道、博爱、奉献”精神，聚焦“三救三献”核心业务，凝聚人道力量，依法履职尽责。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五、评价结论及建议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（一）评价结论。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自身能力建设专项经费指标较好达到了相关要求，各项任务和指标按照年初预算执行，成效明显。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（二）存在的问题。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主要存在预算编制与执行偏差问题。由于上一年编制项目预算时对自身能力建设专项经费不能准确预计，因而造成预决算存在差异。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（三）相关建议。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进一步强化预算管理意识，预算编制前多与有关各方做好沟通衔接，提高预算编制的科学性、合理性、准确性和可控性。强化预算的刚性约束，凡是做到“先预算后开支”，并重视对财政资金的追踪问效，提高财政资金的使用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center"/>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2023年甘孜州红十字会备灾救灾中心工作绩效自评报告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center"/>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一、项目概况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部门在项目管理中的职能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储备物资，为灾情、突发事件等做好充分准备；查灾核灾救灾，做好在灾情的各项工作；物资和应急车辆维护费，物资补充差旅费；应急救援、志愿者队伍建设，普及卫生救护和防病知识，进行初级卫生救护培训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w:t>
      </w:r>
      <w:r>
        <w:rPr>
          <w:rFonts w:hint="eastAsia" w:ascii="仿宋" w:hAnsi="仿宋" w:eastAsia="仿宋" w:cs="仿宋"/>
          <w:i w:val="0"/>
          <w:caps w:val="0"/>
          <w:color w:val="000000"/>
          <w:spacing w:val="0"/>
          <w:sz w:val="32"/>
          <w:szCs w:val="32"/>
        </w:rPr>
        <w:t>项目立项、资金申报的依据。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2021年11月根据州财政要求，我单位编报了备灾救灾中心工作专项经费28万元的项目预算，2022年1月由州级财政部门下达项目预算资金28万元。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3.资金或项目管理办法制定情况。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备灾救灾中心为实现救灾工作高效运行创造必要物资条件，也将为进一步完善红十字会储备救援体系、更加科学有效地应对突发事件提供重要保证。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4．</w:t>
      </w:r>
      <w:r>
        <w:rPr>
          <w:rFonts w:hint="eastAsia" w:ascii="仿宋" w:hAnsi="仿宋" w:eastAsia="仿宋" w:cs="仿宋"/>
          <w:i w:val="0"/>
          <w:caps w:val="0"/>
          <w:color w:val="000000"/>
          <w:spacing w:val="0"/>
          <w:sz w:val="32"/>
          <w:szCs w:val="32"/>
        </w:rPr>
        <w:t>资金分配的原则及考虑因素。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2022年该项目资金主要用于备灾救灾中心等工作，项目申报内容与具体实施内容相符，项目申报目标合理可行。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（二）项目绩效目标。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项目主要内容。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储备物资，为灾情、突发事件等做好充分准备，普及卫生救护和防病知识，进行初级卫生救护培训等。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2．项目应实现的具体绩效目标。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备灾救灾中心物资储备1批次，发放物资6批次。查灾核灾救灾工作6次，开展应急救护普及培训18次，培训8500余人（次），开展救护员培训七批次，培训救护员447人。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3．分析评价申报内容是否与实际相符，申报目标是否合理可行。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备灾救灾中心为实现救灾工作高效运行创造必要物资条件，也将为进一步完善红十字会储备救援体系、更加科学有效地应对突发事件提供重要保证。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二、项目资金申报及使用情况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（一）项目资金申报及批复情况。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我单位编报了备灾救灾中心工作专项经费28万元的项目预算，2022年1月由州级财政部门下达项目预算资金28万元。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（二）资金计划、到位及使用情况。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资金计划及到位。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根据当年年初工作安排，结合本年度开展的重点工作要求，计划申请州本级专项资金20万元，用于开展自身能力建设相关活动。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2．资金到位。根据当年工作安排，州财政于2022年1月下达“备灾救灾中心工作”专项资金28万元，资金全部到位。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3．资金使用。2022年度备灾救灾中心工作专项经费下达预算28万元，项目经费来源为财政拨款。其中：物资费5.61万元；办公费支出5.82万元；差旅费12.49万元；劳务费2.53万元；公务用车运维费0.62万元。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（三）项目财务管理情况。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专项资金严格按照项目内容使用，做到专款专用。使用专项资金时，全部通过国库集中支付，杜绝虚报、挤占、挪用。项目过程中全部按照管理办法执行，无违反规定的行为发生。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三、项目实施及管理情况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备灾救灾中心工作项目工作经费由我会统筹管理，计划使用。坚持“统筹兼顾、保证重点、量入为出、收支平衡”原则。经费重点用于备灾物资的补充和保障备灾中心日常工作的开展等。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Fonts w:hint="eastAsia" w:ascii="仿宋" w:hAnsi="仿宋" w:eastAsia="仿宋" w:cs="仿宋"/>
          <w:b/>
          <w:bCs/>
          <w:i w:val="0"/>
          <w:caps w:val="0"/>
          <w:color w:val="000000"/>
          <w:spacing w:val="0"/>
          <w:sz w:val="32"/>
          <w:szCs w:val="32"/>
        </w:rPr>
        <w:t>四、项目绩效情况 </w:t>
      </w:r>
      <w:r>
        <w:rPr>
          <w:rFonts w:hint="eastAsia" w:ascii="仿宋" w:hAnsi="仿宋" w:eastAsia="仿宋" w:cs="仿宋"/>
          <w:i w:val="0"/>
          <w:caps w:val="0"/>
          <w:color w:val="000000"/>
          <w:spacing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备灾救灾中心物资储备1批次，发放物资6批次。查灾核灾救灾工作6次，开展应急救护普及培训18次，培训8500余人（次），开展救护员培训七批次，培训救护员447人。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（二）项目效益情况。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储备物资，为灾情、突发事件等做好充分准备，普及卫生救护和防病知识，进行初级卫生救护培训等。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五、评价结论及建议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（一）评价结论。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备灾救灾中心工作专项经费指标较好达到了相关要求，各项任务和指标按照年初预算执行，成效明显。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（二）存在的问题。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主要存在预算编制与执行偏差问题。由于上一年编制项目预算时对备灾救灾中心工作的物资采购发放等不能准确预计，因而造成预决算存在差异。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（三）相关建议。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进一步强化预算管理意识，预算编制前多与有关各方做好沟通衔接，提高预算编制的科学性、合理性、准确性和可控性。强化预算的刚性约束，凡是做到“先预算后开支”，并重视对财政资金的追踪问效，提高财政资金的使用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center"/>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center"/>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2023年甘孜州红十字会基层党组织活动经费绩效自评报告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center"/>
        <w:textAlignment w:val="auto"/>
        <w:rPr>
          <w:rFonts w:hint="eastAsia" w:ascii="仿宋" w:hAnsi="仿宋" w:eastAsia="仿宋" w:cs="仿宋"/>
          <w:b/>
          <w:bCs/>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一、项目概况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部门在项目管理中的职能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为了加强党的建设，扎实开展党支部的各项工作，丰富基层党建工作，全面提高党员干部队伍素质，充分发挥基层党组织的战斗堡垒作用，不断增强党组织的凝聚力和战斗力。开展党建工作、党员学习培训、赴各县调研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w:t>
      </w:r>
      <w:r>
        <w:rPr>
          <w:rFonts w:hint="eastAsia" w:ascii="仿宋" w:hAnsi="仿宋" w:eastAsia="仿宋" w:cs="仿宋"/>
          <w:i w:val="0"/>
          <w:caps w:val="0"/>
          <w:color w:val="000000"/>
          <w:spacing w:val="0"/>
          <w:sz w:val="32"/>
          <w:szCs w:val="32"/>
        </w:rPr>
        <w:t>项目立项、资金申报的依据。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2021年11月根据州财政要求，我单位编报了基层党组织活动经费4.5万元的项目预算，2022年1月由州级财政部门下达项目预算资金4.5万元。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3.资金或项目管理办法制定情况。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开展党员学习教育活动2次，开展主题党日活动3次，共安排学习达40次，民主生活会1次购置党员学习教育资料1批。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4．</w:t>
      </w:r>
      <w:r>
        <w:rPr>
          <w:rFonts w:hint="eastAsia" w:ascii="仿宋" w:hAnsi="仿宋" w:eastAsia="仿宋" w:cs="仿宋"/>
          <w:i w:val="0"/>
          <w:caps w:val="0"/>
          <w:color w:val="000000"/>
          <w:spacing w:val="0"/>
          <w:sz w:val="32"/>
          <w:szCs w:val="32"/>
        </w:rPr>
        <w:t>资金分配的原则及考虑因素。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2022年该项目资金主要用于开展党组织活动，项目申报内容与具体实施内容相符，项目申报目标合理可行。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（二）项目绩效目标。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项目主要内容。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为了加强党的建设，扎实开展党支部的各项工作，丰富基层党建工作，全面提高党员干部队伍素质，充分发挥基层党组织的战斗堡垒作用，不断增强党组织的凝聚力和战斗力。开展党建工作、党员学习培训、赴各县调研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2．项目应实现的具体绩效目标。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我会党组召开党组会议9次，对“三重一大”各项工作进行了决策和安排部署。一是加强学习。认真学习党的二十大精神，专题组织学习《党章》《中国共产党党组工作条例》等规定，认真学习贯彻习近平新时代中国特色社会主义思想，习近平总书记对红十字会工作的重要指示，认真落实习近平总书记对四川工作、涉藏工作系列重要指示精神，全面贯彻中央第七次西藏工作座谈会精神和省委涉藏工作会议精神。一年来，认真执行学习教育计划，共安排学习达40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3．分析评价申报内容是否与实际相符，申报目标是否合理可行。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加强党的建设，扎实开展党支部的各项工作，丰富基层党建工作，全面提高党员干部队伍素质，充分发挥基层党组织的战斗堡垒作用，不断增强党组织的凝聚力和战斗力。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二、项目资金申报及使用情况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（一）项目资金申报及批复情况。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我单位编报了基层党组织活动经费4.5万元的项目预算，2022年1月由州级财政部门下达项目预算资金4.5万元。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（二）资金计划、到位及使用情况。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资金计划及到位。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根据当年工作安排，州财政于2022年1月下达基层党组织活动专项资金4.5万元，资金全部到位。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2．资金到位。根据当年工作安排，州财政于2022年1月下达基层党组织活动专项资金4.5万元，资金全部到位。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3．资金使用。2022年度“基层党组织活动”专项资金下达预算4.5万元，项目经费来源为财政拨款。其中：办公费支出2.13万元；差旅费1.37万元；联系点共建共创1万元。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（三）项目财务管理情况。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专项资金严格按照项目内容使用，做到专款专用。使用专项资金时，全部通过国库集中支付，杜绝虚报、挤占、挪用。项目过程中全部按照管理办法执行，无违反规定的行为发生。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三、项目实施及管理情况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我会党组召开党组会议9次，对“三重一大”各项工作进行了决策和安排部署。一是加强学习。认真学习党的二十大精神，专题组织学习《党章》《中国共产党党组工作条例》等规定，认真学习贯彻习近平新时代中国特色社会主义思想，习近平总书记对红十字会工作的重要指示，认真落实习近平总书记对四川工作、涉藏工作系列重要指示精神，全面贯彻中央第七次西藏工作座谈会精神和省委涉藏工作会议精神。一年来，认真执行学习教育计划，共安排学习达40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Fonts w:hint="eastAsia" w:ascii="仿宋" w:hAnsi="仿宋" w:eastAsia="仿宋" w:cs="仿宋"/>
          <w:b/>
          <w:bCs/>
          <w:i w:val="0"/>
          <w:caps w:val="0"/>
          <w:color w:val="000000"/>
          <w:spacing w:val="0"/>
          <w:sz w:val="32"/>
          <w:szCs w:val="32"/>
        </w:rPr>
        <w:t>四、项目绩效情况  </w:t>
      </w:r>
      <w:r>
        <w:rPr>
          <w:rFonts w:hint="eastAsia" w:ascii="仿宋" w:hAnsi="仿宋" w:eastAsia="仿宋" w:cs="仿宋"/>
          <w:i w:val="0"/>
          <w:caps w:val="0"/>
          <w:color w:val="000000"/>
          <w:spacing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开展党员学习教育活动2次，开展主题党日活动3次，共安排学习达40次，民主生活会1次购置党员学习教育资料1批。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（二）项目效益情况。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社会效益：不断加强新时期党支部建设、干部队伍建设和党员队伍建设，充分发挥党支部的战斗堡垒作用，推动科技工作平稳健康运行，进一步密切了党群干群关系。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五、评价结论及建议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（一）评价结论。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基层党组织活动专项经费指标较好达到了相关要求，各项任务和指标按照年初预算执行，成效明显。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（二）存在的问题。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主要存在预算编制与执行偏差问题。由于预算编制人员对项目执行不熟悉，因而造成预决算存在差异。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（三）相关建议。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进一步强化预算管理意识，预算编制前多与有关各方做好沟通衔接，提高预算编制的科学性、合理性、准确性和可控性。强化预算的刚性约束，凡是做到“先预算后开支”，并重视对财政资金的追踪问效，提高财政资金的使用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center"/>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center"/>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center"/>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2023年甘孜州红十字会救灾物资及储藏管理经费绩效自评报告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center"/>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一、项目概况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部门在项目管理中的职能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在日常工作中十分重视各县的灾情发生情况，与州应急中心保持十分秘切的工作联系，及时向省红十字会上报我州各县发生的灾情，为全州各县争取救灾物资，并及时送到时灾民手中。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w:t>
      </w:r>
      <w:r>
        <w:rPr>
          <w:rFonts w:hint="eastAsia" w:ascii="仿宋" w:hAnsi="仿宋" w:eastAsia="仿宋" w:cs="仿宋"/>
          <w:i w:val="0"/>
          <w:caps w:val="0"/>
          <w:color w:val="000000"/>
          <w:spacing w:val="0"/>
          <w:sz w:val="32"/>
          <w:szCs w:val="32"/>
        </w:rPr>
        <w:t>项目立项、资金申报的依据。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2021年11月根据州财政要求，我单位编报了救灾物资及储藏管理专项经费15万元的项目预算，2022年1月由州级财政部门下达项目预算资金15万元。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3.资金或项目管理办法制定情况。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救灾物资及储藏管理保管人员工资社保等；仓库日常管理费；物资搬运费等。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4．</w:t>
      </w:r>
      <w:r>
        <w:rPr>
          <w:rFonts w:hint="eastAsia" w:ascii="仿宋" w:hAnsi="仿宋" w:eastAsia="仿宋" w:cs="仿宋"/>
          <w:i w:val="0"/>
          <w:caps w:val="0"/>
          <w:color w:val="000000"/>
          <w:spacing w:val="0"/>
          <w:sz w:val="32"/>
          <w:szCs w:val="32"/>
        </w:rPr>
        <w:t>资金分配的原则及考虑因素。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2022年该项目资金主要用于救灾物资及储藏管理工作，项目申报内容与具体实施内容相符，项目申报目标合理可行。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（二）项目绩效目标。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项目主要内容。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在日常工作中十分重视各县的灾情发生情况，与州应急中心保持十分秘切的工作联系，及时向省红十字会上报我州各县发生的灾情，为全州各县争取救灾物资，并及时送到时灾民手中。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2．项目应实现的具体绩效目标。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救灾物资及储藏管理保管人员工资社保等；仓库日常管理费；物资搬运费等。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3．分析评价申报内容是否与实际相符，申报目标是否合理可行。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在日常工作中十分重视各县的灾情发生情况，与州应急中心保持十分秘切的工作联系，及时向省红十字会上报我州各县发生的灾情，为全州各县争取救灾物资，并及时送到时灾民手中。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二、项目资金申报及使用情况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（一）项目资金申报及批复情况。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我单位编报了救灾物资及储藏管理经费15万元的项目预算，2022年1月由州级财政部门下达项目预算资金15万元。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（二）资金计划、到位及使用情况。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资金计划及到位。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根据当年工作安排，州财政于2022年1月下达“救灾物资及储藏管理”专项资金15万元，资金全部到位。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 资金到位。根据当年工作安排，根据当年工作安排，州财政于2022年1月下达“救灾物资及储藏管理”专项资金15万元，资金全部到位。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3．资金使用。2022年度“救灾物资及储藏管理”专项资金下达预算15万元，项目经费来源为财政拨款。其中：办公费支出2.23万元；劳务费12.77万元。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（三）项目财务管理情况。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专项资金严格按照项目内容使用，做到专款专用。使用专项资金时，全部通过国库集中支付，杜绝虚报、挤占、挪用。项目过程中全部按照管理办法执行，无违反规定的行为发生。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三、项目实施及管理情况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救灾物资及储藏管理保管人员工资社保等；仓库日常管理费；物资搬运费等。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Fonts w:hint="eastAsia" w:ascii="仿宋" w:hAnsi="仿宋" w:eastAsia="仿宋" w:cs="仿宋"/>
          <w:b/>
          <w:bCs/>
          <w:i w:val="0"/>
          <w:caps w:val="0"/>
          <w:color w:val="000000"/>
          <w:spacing w:val="0"/>
          <w:sz w:val="32"/>
          <w:szCs w:val="32"/>
        </w:rPr>
        <w:t>四、项目绩效情况   </w:t>
      </w:r>
      <w:r>
        <w:rPr>
          <w:rFonts w:hint="eastAsia" w:ascii="仿宋" w:hAnsi="仿宋" w:eastAsia="仿宋" w:cs="仿宋"/>
          <w:i w:val="0"/>
          <w:caps w:val="0"/>
          <w:color w:val="000000"/>
          <w:spacing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救灾物资及储藏管理保管人员工资社保等；仓库日常管理费；物资搬运费等。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（二）项目效益情况。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社会效益：及时向省红十字会上报我州各县发生的灾情，为全州各县争取救灾物资.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五、评价结论及建议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（一）评价结论。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救灾物资及储藏管理专项经费指标较好达到了相关要求，各项任务和指标按照年初预算执行，成效明显。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（二）存在的问题。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主要存在预算编制与执行偏差问题。由于预算编制人员对项目执行不熟悉，因而造成预决算存在差异。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（三）相关建议。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进一步强化预算管理意识，预算编制前多与有关各方做好沟通衔接，提高预算编制的科学性、合理性、准确性和可控性。强化预算的刚性约束，凡是做到“先预算后开支”，并重视对财政资金的追踪问效，提高财政资金的使用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76" w:lineRule="exact"/>
        <w:ind w:left="195" w:right="0" w:firstLine="420"/>
        <w:jc w:val="both"/>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center"/>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2023年甘孜州红十字会备灾中心设施设备专项经费绩效自评报告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center"/>
        <w:textAlignment w:val="auto"/>
        <w:rPr>
          <w:rFonts w:hint="eastAsia" w:ascii="仿宋" w:hAnsi="仿宋" w:eastAsia="仿宋" w:cs="仿宋"/>
          <w:b/>
          <w:bCs/>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一、项目概况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部门在项目管理中的职能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备灾救灾中心设施设备短缺和老旧，不能及时有效的满足救灾备灾需要，目前急需改造备灾救灾中心办公场所，购置仓储及办公设施设备，改善备灾救灾物资仓储条件及办公条件。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w:t>
      </w:r>
      <w:r>
        <w:rPr>
          <w:rFonts w:hint="eastAsia" w:ascii="仿宋" w:hAnsi="仿宋" w:eastAsia="仿宋" w:cs="仿宋"/>
          <w:i w:val="0"/>
          <w:caps w:val="0"/>
          <w:color w:val="000000"/>
          <w:spacing w:val="0"/>
          <w:sz w:val="32"/>
          <w:szCs w:val="32"/>
        </w:rPr>
        <w:t>项目立项、资金申报的依据。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2022年5月根据我单位实际情况编报了备灾中心设施设备专项经费15万元的项目预算，2022年11月由州级财政部门下达项目预算资金15万元。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3.资金或项目管理办法制定情况。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备灾救灾中心设施设备改造。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4．</w:t>
      </w:r>
      <w:r>
        <w:rPr>
          <w:rFonts w:hint="eastAsia" w:ascii="仿宋" w:hAnsi="仿宋" w:eastAsia="仿宋" w:cs="仿宋"/>
          <w:i w:val="0"/>
          <w:caps w:val="0"/>
          <w:color w:val="000000"/>
          <w:spacing w:val="0"/>
          <w:sz w:val="32"/>
          <w:szCs w:val="32"/>
        </w:rPr>
        <w:t>资金分配的原则及考虑因素。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2022年该项目资金主要用于备灾中心设施设备工作，项目申报内容与具体实施内容相符，项目申报目标合理可行。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（二）项目绩效目标。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项目主要内容。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备灾救灾中心设施设备短缺和老旧，不能及时有效的满足救灾备灾需要，目前急需改造备灾救灾中心办公场所，购置仓储及办公设施设备，改善备灾救灾物资仓储条件及办公条件。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2．项目应实现的具体绩效目标。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备灾救灾中心设施设备改造。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3．分析评价申报内容是否与实际相符，申报目标是否合理可行。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分析评价申报内容与实际相符，申报目标合理可行。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二、项目资金申报及使用情况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（一）项目资金申报及批复情况。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我单位编报了备灾救灾中心设施设备经费15万元的项目预算，2022年1月由州级财政部门下达项目预算资金15万元。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（二）资金计划、到位及使用情况。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资金计划及到位。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根据当年工作安排，州财政于2022年1月下达“救灾物资及储藏管理”专项资金15万元，资金全部到位。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2.资金到位。根据当年工作安排，州财政于2022年11月下达“备灾中心设施设备”专项资金15万元，资金全部到位。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3．资金使用。2022年度“备灾中心设施设备”专项资金下达预算15万元，项目经费来源为财政拨款。其中：办公费支出15万元。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（三）项目财务管理情况。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专项资金严格按照项目内容使用，做到专款专用。使用专项资金时，全部通过国库集中支付，杜绝虚报、挤占、挪用。项目过程中全部按照管理办法执行，无违反规定的行为发生。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三、项目实施及管理情况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备灾救灾中心设施设备改造。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四、项目绩效情况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备灾救灾中心设施设备改造。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（二）项目效益情况。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社会效益：备灾救灾中心设施设备短缺和老旧，改造后能及时有效的满足救灾备灾需要。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五、评价结论及建议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（一）评价结论。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备灾中心设施设备专项经费指标较好达到了相关要求，各项任务和指标按照年初预算执行，成效明显。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（二）存在的问题。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主要存在预算编制与执行偏差问题。由于预算编制人员对项目执行不熟悉，因而造成预决算存在差异。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（三）相关建议。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进一步强化预算管理意识，预算编制前多与有关各方做好沟通衔接，提高预算编制的科学性、合理性、准确性和可控性。强化预算的刚性约束，凡是做到“先预算后开支”，并重视对财政资金的追踪问效，提高财政资金的使用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76" w:lineRule="exact"/>
        <w:ind w:left="195" w:right="0" w:firstLine="420"/>
        <w:jc w:val="both"/>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left"/>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center"/>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2023年甘孜州红十字会浙江对口援建-人道救助专项经费绩效自评报告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center"/>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一、项目概况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部门在项目管理中的职能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浙江援建资金，整合我会自有慈善资金，主要用于州内尿毒症，肢残患者等贫困人群的救助。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w:t>
      </w:r>
      <w:r>
        <w:rPr>
          <w:rFonts w:hint="eastAsia" w:ascii="仿宋" w:hAnsi="仿宋" w:eastAsia="仿宋" w:cs="仿宋"/>
          <w:i w:val="0"/>
          <w:caps w:val="0"/>
          <w:color w:val="000000"/>
          <w:spacing w:val="0"/>
          <w:sz w:val="32"/>
          <w:szCs w:val="32"/>
        </w:rPr>
        <w:t>项目立项、资金申报的依据。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2022年11月根据我单位实际情况编报了浙江对口援建人道救助项目100万元的项目预算，2022年1月由州级财政部门下达项目预算资金100万元。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3.资金或项目管理办法制定情况。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浙江对口援建人道救助项目。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4．</w:t>
      </w:r>
      <w:r>
        <w:rPr>
          <w:rFonts w:hint="eastAsia" w:ascii="仿宋" w:hAnsi="仿宋" w:eastAsia="仿宋" w:cs="仿宋"/>
          <w:i w:val="0"/>
          <w:caps w:val="0"/>
          <w:color w:val="000000"/>
          <w:spacing w:val="0"/>
          <w:sz w:val="32"/>
          <w:szCs w:val="32"/>
        </w:rPr>
        <w:t>资金分配的原则及考虑因素。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2022年该项目资金主要用于浙江对口援建人道救助项目工作，项目申报内容与具体实施内容相符，项目申报目标合理可行。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（二）项目绩效目标。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项目主要内容。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浙江援建资金，整合我会自有慈善资金，主要用于州内尿毒症，肢残患者等贫困人群的救助。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2．项目应实现的具体绩效目标。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浙江对口援建人道救助项目。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3．分析评价申报内容是否与实际相符，申报目标是否合理可行。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分析评价申报内容与实际相符，申报目标合理可行。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二、项目资金申报及使用情况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（一）项目资金申报及批复情况。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我单位编报了浙江对口援建人道救助经费100万元的项目预算，2022年1月由州级财政部门下达项目预算资金15万元。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（二）资金计划、到位及使用情况。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rPr>
        <w:t>资金计划及到位。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根据当年工作安排，根据当年工作安排，州财政于2022年11月下达“浙江对口援建人道救助项目”专项资金100万元，资金全部到位。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2.资金到位。根据当年工作安排，州财政于2022年11月下达“浙江对口援建人道救助项目”专项资金100万元，资金全部到位。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3．资金使用。2022年度“浙江对口援建人道救助项目”专项资金下达预算100万元，项目经费来源为财政拨款。其中：人道救助支出100万元。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（三）项目财务管理情况。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专项资金严格按照项目内容使用，做到专款专用。使用专项资金时，全部通过国库集中支付，杜绝虚报、挤占、挪用。项目过程中全部按照管理办法执行，无违反规定的行为发生。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三、项目实施及管理情况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浙江对口援建人道救助项目。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Fonts w:hint="eastAsia" w:ascii="仿宋" w:hAnsi="仿宋" w:eastAsia="仿宋" w:cs="仿宋"/>
          <w:b/>
          <w:bCs/>
          <w:i w:val="0"/>
          <w:caps w:val="0"/>
          <w:color w:val="000000"/>
          <w:spacing w:val="0"/>
          <w:sz w:val="32"/>
          <w:szCs w:val="32"/>
        </w:rPr>
        <w:t>四、项目绩效情况  </w:t>
      </w:r>
      <w:r>
        <w:rPr>
          <w:rFonts w:hint="eastAsia" w:ascii="仿宋" w:hAnsi="仿宋" w:eastAsia="仿宋" w:cs="仿宋"/>
          <w:i w:val="0"/>
          <w:caps w:val="0"/>
          <w:color w:val="000000"/>
          <w:spacing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（一）项目完成情况。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浙江对口援建人道救助项目100万元，对高原肢残患者和尿毒症患者开展了人道救助，全年救助高原肢残患者200余名，救助尿毒症患者180余名。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（二）项目效益情况。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社会效益：针对全州地处高寒地区，受特殊的地理环境、气候条件、生活习惯等影响，农牧区群众患有风湿性关节炎、先天性骨关节病、尿毒症等疾病较多，因病致贫返贫风险较大的问题，组织实施了高原肢残患者专项救助项目和尿毒症患者专项救助，帮助困难群众减轻病痛折磨，着力解决群众因病因残致贫返贫问题，得到各级党委政府、社会各界和受助困难群众的赞扬，已成为了全省红十字系统人道救助的品牌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五、评价结论及建议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（一）评价结论。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浙江对口援建人道救助项目指标较好达到了相关要求，各项任务和指标按照年初预算执行，成效明显。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（二）存在的问题。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主要存在预算编制与执行偏差问题。由于预算编制人员对项目执行不熟悉，因而造成预决算存在差异。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720"/>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（三）相关建议。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进一步强化预算管理意识，预算编制前多与有关各方做好沟通衔接，提高预算编制的科学性、合理性、准确性和可控性。强化预算的刚性约束，凡是做到“先预算后开支”，并重视对财政资金的追踪问效，提高财政资金的使用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both"/>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 w:afterAutospacing="0" w:line="576" w:lineRule="exact"/>
        <w:ind w:left="0" w:right="0" w:firstLine="0"/>
        <w:jc w:val="center"/>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第五部分 附表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76" w:lineRule="exact"/>
        <w:ind w:left="0" w:right="0" w:firstLine="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一、收入支出决算总表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76" w:lineRule="exact"/>
        <w:ind w:left="0" w:right="0" w:firstLine="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二、收入决算表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76" w:lineRule="exact"/>
        <w:ind w:left="0" w:right="0" w:firstLine="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三、支出决算表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76" w:lineRule="exact"/>
        <w:ind w:left="0" w:right="0" w:firstLine="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四、财政拨款收入支出决算总表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76" w:lineRule="exact"/>
        <w:ind w:left="0" w:right="0" w:firstLine="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五、财政拨款支出决算明细表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76" w:lineRule="exact"/>
        <w:ind w:left="0" w:right="0" w:firstLine="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六、一般公共预算财政拨款支出决算表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76" w:lineRule="exact"/>
        <w:ind w:left="0" w:right="0" w:firstLine="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七、一般公共预算财政拨款支出决算明细表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76" w:lineRule="exact"/>
        <w:ind w:left="0" w:right="0" w:firstLine="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八、一般公共预算财政拨款基本支出决算表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76" w:lineRule="exact"/>
        <w:ind w:left="0" w:right="0" w:firstLine="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九、一般公共预算财政拨款项目支出决算表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76" w:lineRule="exact"/>
        <w:ind w:left="0" w:right="0" w:firstLine="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十、政府性基金预算财政拨款收入支出决算表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76" w:lineRule="exact"/>
        <w:ind w:left="0" w:right="0" w:firstLine="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十一、国有资本经营预算财政拨款收入支出决算表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76" w:lineRule="exact"/>
        <w:ind w:left="0" w:right="0" w:firstLine="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十二、国有资本经营预算财政拨款支出决算表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76" w:lineRule="exact"/>
        <w:ind w:left="0" w:right="0" w:firstLine="0"/>
        <w:jc w:val="both"/>
        <w:textAlignment w:val="auto"/>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rPr>
        <w:t>十三、财政拨款“三公”经费支出决算表</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472F3"/>
    <w:rsid w:val="04541E57"/>
    <w:rsid w:val="092472F3"/>
    <w:rsid w:val="2A8F08BE"/>
    <w:rsid w:val="6DF71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2023-10-18T08:28:00Z</dcterms:created>
  <dc:creator>pc</dc:creator>
  <cp:lastModifiedBy>pc</cp:lastModifiedBy>
  <dcterms:modified xsi:type="dcterms:W3CDTF">2023-10-20T05:36:17Z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